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A98C" w14:textId="77777777" w:rsidR="0090301B" w:rsidRPr="00207545" w:rsidRDefault="00A5752A" w:rsidP="00A5752A">
      <w:pPr>
        <w:jc w:val="right"/>
        <w:rPr>
          <w:rFonts w:cs="Arial"/>
          <w:sz w:val="22"/>
          <w:szCs w:val="22"/>
        </w:rPr>
      </w:pPr>
      <w:r w:rsidRPr="00207545">
        <w:rPr>
          <w:rFonts w:cs="Arial"/>
          <w:sz w:val="22"/>
          <w:szCs w:val="22"/>
        </w:rPr>
        <w:t>Příloha k</w:t>
      </w:r>
      <w:r w:rsidR="006651D2" w:rsidRPr="00207545">
        <w:rPr>
          <w:rFonts w:cs="Arial"/>
          <w:sz w:val="22"/>
          <w:szCs w:val="22"/>
        </w:rPr>
        <w:t xml:space="preserve"> </w:t>
      </w:r>
      <w:r w:rsidRPr="00207545">
        <w:rPr>
          <w:rFonts w:cs="Arial"/>
          <w:sz w:val="22"/>
          <w:szCs w:val="22"/>
        </w:rPr>
        <w:t xml:space="preserve">č.j.: </w:t>
      </w:r>
      <w:r w:rsidR="00E241AC" w:rsidRPr="00E241AC">
        <w:rPr>
          <w:rFonts w:cs="Arial"/>
          <w:sz w:val="22"/>
          <w:szCs w:val="22"/>
        </w:rPr>
        <w:t>MPSV-2024/54047-121</w:t>
      </w:r>
    </w:p>
    <w:p w14:paraId="04661237" w14:textId="77777777" w:rsidR="00A5752A" w:rsidRPr="00207545" w:rsidRDefault="00A5752A" w:rsidP="004669EC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24305" w:rsidRPr="00207545" w14:paraId="71B0193C" w14:textId="77777777" w:rsidTr="0074634E">
        <w:trPr>
          <w:trHeight w:val="2646"/>
          <w:jc w:val="center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5AD57DDA" w14:textId="77777777" w:rsidR="004B7B9E" w:rsidRPr="00207545" w:rsidRDefault="004B7B9E" w:rsidP="0074634E">
            <w:pPr>
              <w:pStyle w:val="Zkladntext2"/>
              <w:spacing w:before="240" w:line="360" w:lineRule="auto"/>
              <w:jc w:val="center"/>
              <w:rPr>
                <w:rFonts w:cs="Arial"/>
                <w:b/>
                <w:caps/>
                <w:sz w:val="36"/>
                <w:szCs w:val="36"/>
                <w:lang w:val="cs-CZ"/>
              </w:rPr>
            </w:pPr>
            <w:r w:rsidRPr="00207545">
              <w:rPr>
                <w:rFonts w:cs="Arial"/>
                <w:b/>
                <w:caps/>
                <w:sz w:val="36"/>
                <w:szCs w:val="36"/>
                <w:lang w:val="cs-CZ"/>
              </w:rPr>
              <w:t>R</w:t>
            </w:r>
            <w:r w:rsidR="00024305" w:rsidRPr="00207545">
              <w:rPr>
                <w:rFonts w:cs="Arial"/>
                <w:b/>
                <w:caps/>
                <w:sz w:val="36"/>
                <w:szCs w:val="36"/>
              </w:rPr>
              <w:t>o</w:t>
            </w:r>
            <w:r w:rsidRPr="00207545">
              <w:rPr>
                <w:rFonts w:cs="Arial"/>
                <w:b/>
                <w:caps/>
                <w:sz w:val="36"/>
                <w:szCs w:val="36"/>
                <w:lang w:val="cs-CZ"/>
              </w:rPr>
              <w:t>ČNÍ ZPRÁVA O VYKONANÝCH AUDITECH</w:t>
            </w:r>
          </w:p>
          <w:p w14:paraId="4B4A0509" w14:textId="77777777" w:rsidR="00024305" w:rsidRPr="00207545" w:rsidRDefault="00024305" w:rsidP="00EF2E2D">
            <w:pPr>
              <w:pStyle w:val="Zkladntext2"/>
              <w:spacing w:before="240" w:line="360" w:lineRule="auto"/>
              <w:jc w:val="center"/>
              <w:rPr>
                <w:rFonts w:cs="Arial"/>
                <w:b/>
                <w:sz w:val="36"/>
                <w:szCs w:val="36"/>
                <w:lang w:val="cs-CZ"/>
              </w:rPr>
            </w:pPr>
            <w:r w:rsidRPr="00207545">
              <w:rPr>
                <w:rFonts w:cs="Arial"/>
                <w:b/>
                <w:sz w:val="36"/>
                <w:szCs w:val="36"/>
              </w:rPr>
              <w:t>ZA ROK 20</w:t>
            </w:r>
            <w:r w:rsidR="00943A2B" w:rsidRPr="00207545">
              <w:rPr>
                <w:rFonts w:cs="Arial"/>
                <w:b/>
                <w:sz w:val="36"/>
                <w:szCs w:val="36"/>
                <w:lang w:val="cs-CZ"/>
              </w:rPr>
              <w:t>2</w:t>
            </w:r>
            <w:r w:rsidR="0024788C">
              <w:rPr>
                <w:rFonts w:cs="Arial"/>
                <w:b/>
                <w:sz w:val="36"/>
                <w:szCs w:val="36"/>
                <w:lang w:val="cs-CZ"/>
              </w:rPr>
              <w:t>3</w:t>
            </w:r>
          </w:p>
        </w:tc>
      </w:tr>
    </w:tbl>
    <w:p w14:paraId="0BC51361" w14:textId="77777777" w:rsidR="00024305" w:rsidRPr="00207545" w:rsidRDefault="00024305" w:rsidP="004669EC">
      <w:pPr>
        <w:pStyle w:val="Zkladntext2"/>
        <w:rPr>
          <w:lang w:val="cs-CZ"/>
        </w:rPr>
      </w:pPr>
    </w:p>
    <w:p w14:paraId="22851807" w14:textId="77777777" w:rsidR="001D4BE9" w:rsidRPr="00207545" w:rsidRDefault="001D4BE9" w:rsidP="004669EC">
      <w:pPr>
        <w:pStyle w:val="Zkladntext2"/>
        <w:rPr>
          <w:lang w:val="cs-CZ"/>
        </w:rPr>
      </w:pPr>
    </w:p>
    <w:p w14:paraId="66F78953" w14:textId="77777777" w:rsidR="004669EC" w:rsidRDefault="004669EC" w:rsidP="004669EC">
      <w:pPr>
        <w:pStyle w:val="Zkladntext2"/>
        <w:rPr>
          <w:lang w:val="cs-CZ"/>
        </w:rPr>
      </w:pPr>
    </w:p>
    <w:p w14:paraId="2523B36A" w14:textId="77777777" w:rsidR="00E241AC" w:rsidRDefault="00E241AC" w:rsidP="004669EC">
      <w:pPr>
        <w:pStyle w:val="Zkladntext2"/>
        <w:rPr>
          <w:lang w:val="cs-CZ"/>
        </w:rPr>
      </w:pPr>
    </w:p>
    <w:p w14:paraId="1015D114" w14:textId="77777777" w:rsidR="00E241AC" w:rsidRDefault="00E241AC" w:rsidP="004669EC">
      <w:pPr>
        <w:pStyle w:val="Zkladntext2"/>
        <w:rPr>
          <w:lang w:val="cs-CZ"/>
        </w:rPr>
      </w:pPr>
    </w:p>
    <w:p w14:paraId="39957F2A" w14:textId="77777777" w:rsidR="00E241AC" w:rsidRDefault="00E241AC" w:rsidP="004669EC">
      <w:pPr>
        <w:pStyle w:val="Zkladntext2"/>
        <w:rPr>
          <w:lang w:val="cs-CZ"/>
        </w:rPr>
      </w:pPr>
    </w:p>
    <w:p w14:paraId="6FBC6363" w14:textId="77777777" w:rsidR="00E241AC" w:rsidRPr="00207545" w:rsidRDefault="00E241AC" w:rsidP="004669EC">
      <w:pPr>
        <w:pStyle w:val="Zkladntext2"/>
        <w:rPr>
          <w:lang w:val="cs-CZ"/>
        </w:rPr>
      </w:pPr>
    </w:p>
    <w:p w14:paraId="415C2B9D" w14:textId="77777777" w:rsidR="001D4BE9" w:rsidRPr="00207545" w:rsidRDefault="001D4BE9" w:rsidP="004669EC">
      <w:pPr>
        <w:pStyle w:val="Zkladntext2"/>
        <w:rPr>
          <w:lang w:val="cs-CZ"/>
        </w:rPr>
      </w:pPr>
    </w:p>
    <w:tbl>
      <w:tblPr>
        <w:tblW w:w="9072" w:type="dxa"/>
        <w:tblInd w:w="35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992"/>
        <w:gridCol w:w="4111"/>
      </w:tblGrid>
      <w:tr w:rsidR="00C9339A" w:rsidRPr="00207545" w14:paraId="19461D06" w14:textId="77777777" w:rsidTr="00E241AC">
        <w:trPr>
          <w:trHeight w:val="62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802068C" w14:textId="77777777" w:rsidR="00C9339A" w:rsidRPr="00207545" w:rsidRDefault="00C9339A" w:rsidP="00C9339A">
            <w:pPr>
              <w:jc w:val="center"/>
              <w:rPr>
                <w:rFonts w:cs="Arial"/>
                <w:b/>
                <w:smallCaps/>
                <w:sz w:val="32"/>
              </w:rPr>
            </w:pPr>
            <w:r>
              <w:rPr>
                <w:rFonts w:cs="Arial"/>
                <w:b/>
                <w:smallCaps/>
                <w:sz w:val="32"/>
              </w:rPr>
              <w:t>Zpracovala</w:t>
            </w:r>
            <w:r w:rsidRPr="00207545">
              <w:rPr>
                <w:rFonts w:cs="Arial"/>
                <w:b/>
                <w:smallCaps/>
                <w:sz w:val="32"/>
              </w:rPr>
              <w:t>: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14:paraId="50C1DA89" w14:textId="77777777" w:rsidR="00C9339A" w:rsidRPr="00207545" w:rsidRDefault="00C9339A" w:rsidP="00C9339A">
            <w:pPr>
              <w:jc w:val="center"/>
              <w:rPr>
                <w:rFonts w:cs="Arial"/>
                <w:b/>
                <w:smallCaps/>
                <w:sz w:val="3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37E9A405" w14:textId="77777777" w:rsidR="00C9339A" w:rsidRPr="00207545" w:rsidRDefault="00C9339A" w:rsidP="00C9339A">
            <w:pPr>
              <w:jc w:val="center"/>
              <w:rPr>
                <w:rFonts w:cs="Arial"/>
                <w:b/>
                <w:smallCaps/>
                <w:sz w:val="32"/>
              </w:rPr>
            </w:pPr>
            <w:r>
              <w:rPr>
                <w:rFonts w:cs="Arial"/>
                <w:b/>
                <w:smallCaps/>
                <w:sz w:val="32"/>
              </w:rPr>
              <w:t>Předkládá</w:t>
            </w:r>
            <w:r w:rsidRPr="00207545">
              <w:rPr>
                <w:rFonts w:cs="Arial"/>
                <w:b/>
                <w:smallCaps/>
                <w:sz w:val="32"/>
              </w:rPr>
              <w:t>:</w:t>
            </w:r>
          </w:p>
        </w:tc>
      </w:tr>
      <w:tr w:rsidR="00C9339A" w:rsidRPr="00207545" w14:paraId="208BF3F7" w14:textId="77777777" w:rsidTr="00E241AC">
        <w:trPr>
          <w:trHeight w:val="188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81D2DE" w14:textId="77777777" w:rsidR="00C9339A" w:rsidRPr="00207545" w:rsidRDefault="00C9339A" w:rsidP="00CB5D1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14:paraId="088368F1" w14:textId="77777777" w:rsidR="00C9339A" w:rsidRPr="00207545" w:rsidRDefault="00C9339A" w:rsidP="00C9339A">
            <w:pPr>
              <w:jc w:val="center"/>
              <w:rPr>
                <w:rFonts w:cs="Arial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0CF42" w14:textId="21C1FF11" w:rsidR="00C9339A" w:rsidRPr="00207545" w:rsidRDefault="00C9339A" w:rsidP="00C9339A">
            <w:pPr>
              <w:jc w:val="center"/>
              <w:rPr>
                <w:rFonts w:cs="Arial"/>
              </w:rPr>
            </w:pPr>
          </w:p>
        </w:tc>
      </w:tr>
    </w:tbl>
    <w:p w14:paraId="341B0E2B" w14:textId="77777777" w:rsidR="00024305" w:rsidRPr="00207545" w:rsidRDefault="00024305" w:rsidP="004669EC">
      <w:pPr>
        <w:rPr>
          <w:rFonts w:cs="Arial"/>
        </w:rPr>
      </w:pPr>
    </w:p>
    <w:p w14:paraId="0CFB4D62" w14:textId="77777777" w:rsidR="00F06853" w:rsidRPr="00207545" w:rsidRDefault="00F06853" w:rsidP="004669EC">
      <w:pPr>
        <w:rPr>
          <w:rFonts w:cs="Arial"/>
        </w:rPr>
      </w:pPr>
    </w:p>
    <w:p w14:paraId="1FD46033" w14:textId="77777777" w:rsidR="00F06853" w:rsidRDefault="00F06853" w:rsidP="004669EC">
      <w:pPr>
        <w:rPr>
          <w:rFonts w:cs="Arial"/>
        </w:rPr>
      </w:pPr>
    </w:p>
    <w:p w14:paraId="5129D480" w14:textId="77777777" w:rsidR="00E241AC" w:rsidRDefault="00E241AC" w:rsidP="004669EC">
      <w:pPr>
        <w:rPr>
          <w:rFonts w:cs="Arial"/>
        </w:rPr>
      </w:pPr>
    </w:p>
    <w:p w14:paraId="3947C5A7" w14:textId="77777777" w:rsidR="00E241AC" w:rsidRDefault="00E241AC" w:rsidP="004669EC">
      <w:pPr>
        <w:rPr>
          <w:rFonts w:cs="Arial"/>
        </w:rPr>
      </w:pPr>
    </w:p>
    <w:p w14:paraId="73926D38" w14:textId="77777777" w:rsidR="00E241AC" w:rsidRDefault="00E241AC" w:rsidP="004669EC">
      <w:pPr>
        <w:rPr>
          <w:rFonts w:cs="Arial"/>
        </w:rPr>
      </w:pPr>
    </w:p>
    <w:p w14:paraId="143B4A74" w14:textId="77777777" w:rsidR="00E241AC" w:rsidRDefault="00E241AC" w:rsidP="004669EC">
      <w:pPr>
        <w:rPr>
          <w:rFonts w:cs="Arial"/>
        </w:rPr>
      </w:pPr>
    </w:p>
    <w:p w14:paraId="4B789ACF" w14:textId="77777777" w:rsidR="00E241AC" w:rsidRDefault="00E241AC" w:rsidP="004669EC">
      <w:pPr>
        <w:rPr>
          <w:rFonts w:cs="Arial"/>
        </w:rPr>
      </w:pPr>
    </w:p>
    <w:p w14:paraId="249184C7" w14:textId="77777777" w:rsidR="00E241AC" w:rsidRDefault="00E241AC" w:rsidP="004669EC">
      <w:pPr>
        <w:rPr>
          <w:rFonts w:cs="Arial"/>
        </w:rPr>
      </w:pPr>
    </w:p>
    <w:p w14:paraId="29E7A598" w14:textId="77777777" w:rsidR="00E241AC" w:rsidRDefault="00E241AC" w:rsidP="004669EC">
      <w:pPr>
        <w:rPr>
          <w:rFonts w:cs="Arial"/>
        </w:rPr>
      </w:pPr>
    </w:p>
    <w:p w14:paraId="22EA8DD7" w14:textId="77777777" w:rsidR="00E241AC" w:rsidRDefault="00E241AC" w:rsidP="004669EC">
      <w:pPr>
        <w:rPr>
          <w:rFonts w:cs="Arial"/>
        </w:rPr>
      </w:pPr>
    </w:p>
    <w:p w14:paraId="2E73B2DD" w14:textId="77777777" w:rsidR="00E241AC" w:rsidRDefault="00E241AC" w:rsidP="004669EC">
      <w:pPr>
        <w:rPr>
          <w:rFonts w:cs="Arial"/>
        </w:rPr>
      </w:pPr>
    </w:p>
    <w:p w14:paraId="537C9453" w14:textId="77777777" w:rsidR="00E241AC" w:rsidRPr="00207545" w:rsidRDefault="00E241AC" w:rsidP="004669EC">
      <w:pPr>
        <w:rPr>
          <w:rFonts w:cs="Arial"/>
        </w:rPr>
      </w:pPr>
    </w:p>
    <w:p w14:paraId="317B55D3" w14:textId="77777777" w:rsidR="00024305" w:rsidRDefault="00024305" w:rsidP="004669EC">
      <w:pPr>
        <w:rPr>
          <w:rFonts w:cs="Arial"/>
        </w:rPr>
      </w:pPr>
    </w:p>
    <w:p w14:paraId="6C4CCDFD" w14:textId="77777777" w:rsidR="00012267" w:rsidRDefault="00012267" w:rsidP="004669EC">
      <w:pPr>
        <w:rPr>
          <w:rFonts w:cs="Arial"/>
        </w:rPr>
      </w:pPr>
    </w:p>
    <w:p w14:paraId="39A764A5" w14:textId="77777777" w:rsidR="00012267" w:rsidRPr="00207545" w:rsidRDefault="00012267" w:rsidP="004669EC">
      <w:pPr>
        <w:rPr>
          <w:rFonts w:cs="Arial"/>
        </w:rPr>
      </w:pPr>
    </w:p>
    <w:tbl>
      <w:tblPr>
        <w:tblW w:w="907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657"/>
      </w:tblGrid>
      <w:tr w:rsidR="00024305" w:rsidRPr="00207545" w14:paraId="66CDCC52" w14:textId="77777777" w:rsidTr="00E241AC">
        <w:trPr>
          <w:cantSplit/>
          <w:trHeight w:val="570"/>
        </w:trPr>
        <w:tc>
          <w:tcPr>
            <w:tcW w:w="4415" w:type="dxa"/>
            <w:shd w:val="clear" w:color="auto" w:fill="FFFFFF"/>
            <w:vAlign w:val="center"/>
          </w:tcPr>
          <w:p w14:paraId="63985C90" w14:textId="77777777" w:rsidR="00024305" w:rsidRPr="00207545" w:rsidRDefault="00024305" w:rsidP="0074634E">
            <w:pPr>
              <w:jc w:val="center"/>
              <w:rPr>
                <w:rFonts w:cs="Arial"/>
                <w:b/>
                <w:sz w:val="26"/>
              </w:rPr>
            </w:pPr>
            <w:r w:rsidRPr="00207545">
              <w:rPr>
                <w:rFonts w:cs="Arial"/>
                <w:b/>
                <w:sz w:val="26"/>
              </w:rPr>
              <w:t>Datum zpracování:</w:t>
            </w:r>
          </w:p>
        </w:tc>
        <w:tc>
          <w:tcPr>
            <w:tcW w:w="4657" w:type="dxa"/>
            <w:shd w:val="clear" w:color="auto" w:fill="FFFFFF"/>
            <w:vAlign w:val="center"/>
          </w:tcPr>
          <w:p w14:paraId="6723E324" w14:textId="77777777" w:rsidR="00024305" w:rsidRPr="00207545" w:rsidRDefault="00C00CF6" w:rsidP="002557D9">
            <w:pPr>
              <w:ind w:left="567"/>
              <w:jc w:val="center"/>
              <w:rPr>
                <w:rFonts w:cs="Arial"/>
                <w:b/>
                <w:sz w:val="26"/>
              </w:rPr>
            </w:pPr>
            <w:r w:rsidRPr="00E241AC">
              <w:rPr>
                <w:rFonts w:cs="Arial"/>
                <w:b/>
                <w:sz w:val="26"/>
              </w:rPr>
              <w:t>2</w:t>
            </w:r>
            <w:r w:rsidR="001515A3" w:rsidRPr="00E241AC">
              <w:rPr>
                <w:rFonts w:cs="Arial"/>
                <w:b/>
                <w:sz w:val="26"/>
              </w:rPr>
              <w:t>8</w:t>
            </w:r>
            <w:r w:rsidR="00891FED" w:rsidRPr="00E241AC">
              <w:rPr>
                <w:rFonts w:cs="Arial"/>
                <w:b/>
                <w:sz w:val="26"/>
              </w:rPr>
              <w:t xml:space="preserve">. </w:t>
            </w:r>
            <w:r w:rsidRPr="00E241AC">
              <w:rPr>
                <w:rFonts w:cs="Arial"/>
                <w:b/>
                <w:sz w:val="26"/>
              </w:rPr>
              <w:t>února</w:t>
            </w:r>
            <w:r w:rsidR="00F543D1" w:rsidRPr="00E241AC">
              <w:rPr>
                <w:rFonts w:cs="Arial"/>
                <w:b/>
                <w:sz w:val="26"/>
              </w:rPr>
              <w:t xml:space="preserve"> </w:t>
            </w:r>
            <w:r w:rsidR="00024305" w:rsidRPr="00E241AC">
              <w:rPr>
                <w:rFonts w:cs="Arial"/>
                <w:b/>
                <w:sz w:val="26"/>
              </w:rPr>
              <w:t>20</w:t>
            </w:r>
            <w:r w:rsidR="00EF2E2D" w:rsidRPr="00E241AC">
              <w:rPr>
                <w:rFonts w:cs="Arial"/>
                <w:b/>
                <w:sz w:val="26"/>
              </w:rPr>
              <w:t>2</w:t>
            </w:r>
            <w:r w:rsidR="0024788C" w:rsidRPr="00E241AC">
              <w:rPr>
                <w:rFonts w:cs="Arial"/>
                <w:b/>
                <w:sz w:val="26"/>
              </w:rPr>
              <w:t>4</w:t>
            </w:r>
          </w:p>
        </w:tc>
      </w:tr>
    </w:tbl>
    <w:p w14:paraId="00244361" w14:textId="77777777" w:rsidR="00024305" w:rsidRPr="00207545" w:rsidRDefault="00024305" w:rsidP="00EF7584">
      <w:pPr>
        <w:rPr>
          <w:rFonts w:cs="Arial"/>
          <w:bCs/>
        </w:rPr>
      </w:pPr>
    </w:p>
    <w:p w14:paraId="0A398EB3" w14:textId="77777777" w:rsidR="00024305" w:rsidRPr="00207545" w:rsidRDefault="00024305" w:rsidP="00EF7584">
      <w:pPr>
        <w:rPr>
          <w:rFonts w:cs="Arial"/>
          <w:bCs/>
        </w:rPr>
      </w:pPr>
    </w:p>
    <w:p w14:paraId="7DB7A3BE" w14:textId="77777777" w:rsidR="0073685A" w:rsidRDefault="00636304" w:rsidP="0073685A">
      <w:pPr>
        <w:rPr>
          <w:rFonts w:cs="Arial"/>
          <w:b/>
          <w:bCs/>
        </w:rPr>
      </w:pPr>
      <w:r w:rsidRPr="00207545">
        <w:rPr>
          <w:rFonts w:cs="Arial"/>
          <w:b/>
          <w:bCs/>
        </w:rPr>
        <w:lastRenderedPageBreak/>
        <w:t>OBSAH:</w:t>
      </w:r>
    </w:p>
    <w:p w14:paraId="0911B433" w14:textId="77777777" w:rsidR="0073685A" w:rsidRPr="009277A0" w:rsidRDefault="0073685A" w:rsidP="0073685A">
      <w:pPr>
        <w:rPr>
          <w:rFonts w:cs="Arial"/>
          <w:b/>
          <w:bCs/>
        </w:rPr>
      </w:pPr>
    </w:p>
    <w:p w14:paraId="1C5E82C5" w14:textId="49D41135" w:rsidR="00012267" w:rsidRDefault="0073685A">
      <w:pPr>
        <w:pStyle w:val="Obsah1"/>
        <w:rPr>
          <w:rFonts w:ascii="Calibri" w:hAnsi="Calibri" w:cs="Times New Roman"/>
          <w:bCs w:val="0"/>
          <w:caps w:val="0"/>
          <w:kern w:val="2"/>
          <w:sz w:val="22"/>
          <w:szCs w:val="22"/>
        </w:rPr>
      </w:pPr>
      <w:r w:rsidRPr="00095B9C">
        <w:rPr>
          <w:sz w:val="24"/>
          <w:szCs w:val="24"/>
        </w:rPr>
        <w:fldChar w:fldCharType="begin"/>
      </w:r>
      <w:r w:rsidRPr="00095B9C">
        <w:rPr>
          <w:sz w:val="24"/>
          <w:szCs w:val="24"/>
        </w:rPr>
        <w:instrText xml:space="preserve"> TOC \o "1-3" \h \z \u </w:instrText>
      </w:r>
      <w:r w:rsidRPr="00095B9C">
        <w:rPr>
          <w:sz w:val="24"/>
          <w:szCs w:val="24"/>
        </w:rPr>
        <w:fldChar w:fldCharType="separate"/>
      </w:r>
      <w:hyperlink w:anchor="_Toc160019374" w:history="1">
        <w:r w:rsidR="00012267" w:rsidRPr="004C35B6">
          <w:rPr>
            <w:rStyle w:val="Hypertextovodkaz"/>
          </w:rPr>
          <w:t>1.</w:t>
        </w:r>
        <w:r w:rsidR="00012267">
          <w:rPr>
            <w:rFonts w:ascii="Calibri" w:hAnsi="Calibri" w:cs="Times New Roman"/>
            <w:bCs w:val="0"/>
            <w:caps w:val="0"/>
            <w:kern w:val="2"/>
            <w:sz w:val="22"/>
            <w:szCs w:val="22"/>
          </w:rPr>
          <w:tab/>
        </w:r>
        <w:r w:rsidR="00012267" w:rsidRPr="004C35B6">
          <w:rPr>
            <w:rStyle w:val="Hypertextovodkaz"/>
          </w:rPr>
          <w:t>VYSVĚTLENÍ ZKRATEK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_Toc160019374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3</w:t>
        </w:r>
        <w:r w:rsidR="00012267">
          <w:rPr>
            <w:webHidden/>
          </w:rPr>
          <w:fldChar w:fldCharType="end"/>
        </w:r>
      </w:hyperlink>
    </w:p>
    <w:p w14:paraId="70CB90B6" w14:textId="6A261A33" w:rsidR="00012267" w:rsidRDefault="00000000">
      <w:pPr>
        <w:pStyle w:val="Obsah1"/>
        <w:rPr>
          <w:rFonts w:ascii="Calibri" w:hAnsi="Calibri" w:cs="Times New Roman"/>
          <w:bCs w:val="0"/>
          <w:caps w:val="0"/>
          <w:kern w:val="2"/>
          <w:sz w:val="22"/>
          <w:szCs w:val="22"/>
        </w:rPr>
      </w:pPr>
      <w:hyperlink w:anchor="_Toc160019375" w:history="1">
        <w:r w:rsidR="00012267" w:rsidRPr="004C35B6">
          <w:rPr>
            <w:rStyle w:val="Hypertextovodkaz"/>
          </w:rPr>
          <w:t>2.</w:t>
        </w:r>
        <w:r w:rsidR="00012267">
          <w:rPr>
            <w:rFonts w:ascii="Calibri" w:hAnsi="Calibri" w:cs="Times New Roman"/>
            <w:bCs w:val="0"/>
            <w:caps w:val="0"/>
            <w:kern w:val="2"/>
            <w:sz w:val="22"/>
            <w:szCs w:val="22"/>
          </w:rPr>
          <w:tab/>
        </w:r>
        <w:r w:rsidR="00012267" w:rsidRPr="004C35B6">
          <w:rPr>
            <w:rStyle w:val="Hypertextovodkaz"/>
          </w:rPr>
          <w:t>ÚVOD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_Toc160019375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4</w:t>
        </w:r>
        <w:r w:rsidR="00012267">
          <w:rPr>
            <w:webHidden/>
          </w:rPr>
          <w:fldChar w:fldCharType="end"/>
        </w:r>
      </w:hyperlink>
    </w:p>
    <w:p w14:paraId="4C7B8B74" w14:textId="17368C10" w:rsidR="00012267" w:rsidRDefault="00000000">
      <w:pPr>
        <w:pStyle w:val="Obsah1"/>
        <w:rPr>
          <w:rFonts w:ascii="Calibri" w:hAnsi="Calibri" w:cs="Times New Roman"/>
          <w:bCs w:val="0"/>
          <w:caps w:val="0"/>
          <w:kern w:val="2"/>
          <w:sz w:val="22"/>
          <w:szCs w:val="22"/>
        </w:rPr>
      </w:pPr>
      <w:hyperlink w:anchor="_Toc160019376" w:history="1">
        <w:r w:rsidR="00012267" w:rsidRPr="004C35B6">
          <w:rPr>
            <w:rStyle w:val="Hypertextovodkaz"/>
          </w:rPr>
          <w:t>3.</w:t>
        </w:r>
        <w:r w:rsidR="00012267">
          <w:rPr>
            <w:rFonts w:ascii="Calibri" w:hAnsi="Calibri" w:cs="Times New Roman"/>
            <w:bCs w:val="0"/>
            <w:caps w:val="0"/>
            <w:kern w:val="2"/>
            <w:sz w:val="22"/>
            <w:szCs w:val="22"/>
          </w:rPr>
          <w:tab/>
        </w:r>
        <w:r w:rsidR="00012267" w:rsidRPr="004C35B6">
          <w:rPr>
            <w:rStyle w:val="Hypertextovodkaz"/>
          </w:rPr>
          <w:t>SOUHRN AUDITNÍ ČINNOSTI V ROCE 2023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_Toc160019376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4</w:t>
        </w:r>
        <w:r w:rsidR="00012267">
          <w:rPr>
            <w:webHidden/>
          </w:rPr>
          <w:fldChar w:fldCharType="end"/>
        </w:r>
      </w:hyperlink>
    </w:p>
    <w:p w14:paraId="3AA1CC5D" w14:textId="0F963DCF" w:rsidR="00012267" w:rsidRDefault="00000000">
      <w:pPr>
        <w:pStyle w:val="Obsah1"/>
        <w:rPr>
          <w:rFonts w:ascii="Calibri" w:hAnsi="Calibri" w:cs="Times New Roman"/>
          <w:bCs w:val="0"/>
          <w:caps w:val="0"/>
          <w:kern w:val="2"/>
          <w:sz w:val="22"/>
          <w:szCs w:val="22"/>
        </w:rPr>
      </w:pPr>
      <w:hyperlink w:anchor="_Toc160019377" w:history="1">
        <w:r w:rsidR="00012267" w:rsidRPr="004C35B6">
          <w:rPr>
            <w:rStyle w:val="Hypertextovodkaz"/>
          </w:rPr>
          <w:t>4.</w:t>
        </w:r>
        <w:r w:rsidR="00012267">
          <w:rPr>
            <w:rFonts w:ascii="Calibri" w:hAnsi="Calibri" w:cs="Times New Roman"/>
            <w:bCs w:val="0"/>
            <w:caps w:val="0"/>
            <w:kern w:val="2"/>
            <w:sz w:val="22"/>
            <w:szCs w:val="22"/>
          </w:rPr>
          <w:tab/>
        </w:r>
        <w:r w:rsidR="00012267" w:rsidRPr="004C35B6">
          <w:rPr>
            <w:rStyle w:val="Hypertextovodkaz"/>
          </w:rPr>
          <w:t>VYHODNOCENÍ PODLE § 31 ZÁKONA O FINANČNÍ KONTROLE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_Toc160019377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5</w:t>
        </w:r>
        <w:r w:rsidR="00012267">
          <w:rPr>
            <w:webHidden/>
          </w:rPr>
          <w:fldChar w:fldCharType="end"/>
        </w:r>
      </w:hyperlink>
    </w:p>
    <w:p w14:paraId="6C29E2D9" w14:textId="1A6EB0D0" w:rsidR="00012267" w:rsidRDefault="00000000">
      <w:pPr>
        <w:pStyle w:val="Obsah2"/>
        <w:rPr>
          <w:rFonts w:ascii="Calibri" w:hAnsi="Calibri" w:cs="Times New Roman"/>
          <w:kern w:val="2"/>
          <w:sz w:val="22"/>
          <w:szCs w:val="22"/>
        </w:rPr>
      </w:pPr>
      <w:hyperlink w:anchor="_Toc160019378" w:history="1">
        <w:r w:rsidR="00012267" w:rsidRPr="004C35B6">
          <w:rPr>
            <w:rStyle w:val="Hypertextovodkaz"/>
          </w:rPr>
          <w:t>4.1.</w:t>
        </w:r>
        <w:r w:rsidR="00012267">
          <w:rPr>
            <w:rFonts w:ascii="Calibri" w:hAnsi="Calibri" w:cs="Times New Roman"/>
            <w:kern w:val="2"/>
            <w:sz w:val="22"/>
            <w:szCs w:val="22"/>
          </w:rPr>
          <w:tab/>
        </w:r>
        <w:r w:rsidR="00012267" w:rsidRPr="004C35B6">
          <w:rPr>
            <w:rStyle w:val="Hypertextovodkaz"/>
          </w:rPr>
          <w:t>Vyhodnocení podle § 31 odst. 3 písm. a) zákona o finanční kontrole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_Toc160019378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5</w:t>
        </w:r>
        <w:r w:rsidR="00012267">
          <w:rPr>
            <w:webHidden/>
          </w:rPr>
          <w:fldChar w:fldCharType="end"/>
        </w:r>
      </w:hyperlink>
    </w:p>
    <w:p w14:paraId="1DF0A196" w14:textId="071BF32A" w:rsidR="00012267" w:rsidRDefault="00000000">
      <w:pPr>
        <w:pStyle w:val="Obsah3"/>
        <w:rPr>
          <w:rFonts w:ascii="Calibri" w:hAnsi="Calibri" w:cs="Times New Roman"/>
          <w:kern w:val="2"/>
          <w:sz w:val="22"/>
          <w:szCs w:val="22"/>
        </w:rPr>
      </w:pPr>
      <w:hyperlink w:anchor="_Toc160019379" w:history="1">
        <w:r w:rsidR="00012267" w:rsidRPr="004C35B6">
          <w:rPr>
            <w:rStyle w:val="Hypertextovodkaz"/>
          </w:rPr>
          <w:t>4.1.1. Úvod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_Toc160019379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5</w:t>
        </w:r>
        <w:r w:rsidR="00012267">
          <w:rPr>
            <w:webHidden/>
          </w:rPr>
          <w:fldChar w:fldCharType="end"/>
        </w:r>
      </w:hyperlink>
    </w:p>
    <w:p w14:paraId="3373A99F" w14:textId="3F92EF8D" w:rsidR="00012267" w:rsidRDefault="00000000">
      <w:pPr>
        <w:pStyle w:val="Obsah3"/>
        <w:rPr>
          <w:rFonts w:ascii="Calibri" w:hAnsi="Calibri" w:cs="Times New Roman"/>
          <w:kern w:val="2"/>
          <w:sz w:val="22"/>
          <w:szCs w:val="22"/>
        </w:rPr>
      </w:pPr>
      <w:hyperlink w:anchor="_Toc160019380" w:history="1">
        <w:r w:rsidR="00012267" w:rsidRPr="004C35B6">
          <w:rPr>
            <w:rStyle w:val="Hypertextovodkaz"/>
            <w:caps/>
          </w:rPr>
          <w:t xml:space="preserve">4.1.2. </w:t>
        </w:r>
        <w:r w:rsidR="00012267" w:rsidRPr="004C35B6">
          <w:rPr>
            <w:rStyle w:val="Hypertextovodkaz"/>
          </w:rPr>
          <w:t>Dotazníkový průzkum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_Toc160019380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7</w:t>
        </w:r>
        <w:r w:rsidR="00012267">
          <w:rPr>
            <w:webHidden/>
          </w:rPr>
          <w:fldChar w:fldCharType="end"/>
        </w:r>
      </w:hyperlink>
    </w:p>
    <w:p w14:paraId="773F0017" w14:textId="487970B6" w:rsidR="00012267" w:rsidRDefault="00000000">
      <w:pPr>
        <w:pStyle w:val="Obsah3"/>
        <w:rPr>
          <w:rFonts w:ascii="Calibri" w:hAnsi="Calibri" w:cs="Times New Roman"/>
          <w:kern w:val="2"/>
          <w:sz w:val="22"/>
          <w:szCs w:val="22"/>
        </w:rPr>
      </w:pPr>
      <w:hyperlink w:anchor="_Toc160019381" w:history="1">
        <w:r w:rsidR="00012267" w:rsidRPr="004C35B6">
          <w:rPr>
            <w:rStyle w:val="Hypertextovodkaz"/>
          </w:rPr>
          <w:t>4.1.3 Poznatky odboru 12 z auditní činnosti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_Toc160019381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8</w:t>
        </w:r>
        <w:r w:rsidR="00012267">
          <w:rPr>
            <w:webHidden/>
          </w:rPr>
          <w:fldChar w:fldCharType="end"/>
        </w:r>
      </w:hyperlink>
    </w:p>
    <w:p w14:paraId="46F36F90" w14:textId="6B297302" w:rsidR="00012267" w:rsidRDefault="00000000">
      <w:pPr>
        <w:pStyle w:val="Obsah2"/>
        <w:rPr>
          <w:rFonts w:ascii="Calibri" w:hAnsi="Calibri" w:cs="Times New Roman"/>
          <w:kern w:val="2"/>
          <w:sz w:val="22"/>
          <w:szCs w:val="22"/>
        </w:rPr>
      </w:pPr>
      <w:hyperlink w:anchor="_Toc160019382" w:history="1">
        <w:r w:rsidR="00012267" w:rsidRPr="004C35B6">
          <w:rPr>
            <w:rStyle w:val="Hypertextovodkaz"/>
          </w:rPr>
          <w:t>4.2 Vyhodnocení podle § 31 odst. 3 písm. b) zákona o finanční kontrole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_Toc160019382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9</w:t>
        </w:r>
        <w:r w:rsidR="00012267">
          <w:rPr>
            <w:webHidden/>
          </w:rPr>
          <w:fldChar w:fldCharType="end"/>
        </w:r>
      </w:hyperlink>
    </w:p>
    <w:p w14:paraId="040BAEDF" w14:textId="15EF7FC7" w:rsidR="00012267" w:rsidRDefault="00000000">
      <w:pPr>
        <w:pStyle w:val="Obsah3"/>
        <w:rPr>
          <w:rFonts w:ascii="Calibri" w:hAnsi="Calibri" w:cs="Times New Roman"/>
          <w:kern w:val="2"/>
          <w:sz w:val="22"/>
          <w:szCs w:val="22"/>
        </w:rPr>
      </w:pPr>
      <w:hyperlink w:anchor="_Toc160019383" w:history="1">
        <w:r w:rsidR="00012267" w:rsidRPr="004C35B6">
          <w:rPr>
            <w:rStyle w:val="Hypertextovodkaz"/>
          </w:rPr>
          <w:t>4.2.1 Audity provedené Auditním orgánem pro OP PMP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_Toc160019383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9</w:t>
        </w:r>
        <w:r w:rsidR="00012267">
          <w:rPr>
            <w:webHidden/>
          </w:rPr>
          <w:fldChar w:fldCharType="end"/>
        </w:r>
      </w:hyperlink>
    </w:p>
    <w:p w14:paraId="4F406665" w14:textId="28457BD0" w:rsidR="00012267" w:rsidRDefault="00000000">
      <w:pPr>
        <w:pStyle w:val="Obsah3"/>
        <w:rPr>
          <w:rFonts w:ascii="Calibri" w:hAnsi="Calibri" w:cs="Times New Roman"/>
          <w:kern w:val="2"/>
          <w:sz w:val="22"/>
          <w:szCs w:val="22"/>
        </w:rPr>
      </w:pPr>
      <w:hyperlink w:anchor="_Toc160019384" w:history="1">
        <w:r w:rsidR="00012267" w:rsidRPr="004C35B6">
          <w:rPr>
            <w:rStyle w:val="Hypertextovodkaz"/>
          </w:rPr>
          <w:t>4.2.2 Audity KB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_Toc160019384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9</w:t>
        </w:r>
        <w:r w:rsidR="00012267">
          <w:rPr>
            <w:webHidden/>
          </w:rPr>
          <w:fldChar w:fldCharType="end"/>
        </w:r>
      </w:hyperlink>
    </w:p>
    <w:p w14:paraId="74A5122C" w14:textId="6DA3EE97" w:rsidR="00012267" w:rsidRDefault="00000000">
      <w:pPr>
        <w:pStyle w:val="Obsah3"/>
        <w:rPr>
          <w:rFonts w:ascii="Calibri" w:hAnsi="Calibri" w:cs="Times New Roman"/>
          <w:kern w:val="2"/>
          <w:sz w:val="22"/>
          <w:szCs w:val="22"/>
        </w:rPr>
      </w:pPr>
      <w:hyperlink w:anchor="_Toc160019385" w:history="1">
        <w:r w:rsidR="00012267" w:rsidRPr="004C35B6">
          <w:rPr>
            <w:rStyle w:val="Hypertextovodkaz"/>
          </w:rPr>
          <w:t>4.2.3 Interní audity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_Toc160019385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10</w:t>
        </w:r>
        <w:r w:rsidR="00012267">
          <w:rPr>
            <w:webHidden/>
          </w:rPr>
          <w:fldChar w:fldCharType="end"/>
        </w:r>
      </w:hyperlink>
    </w:p>
    <w:p w14:paraId="7BB707E2" w14:textId="596D9C42" w:rsidR="00012267" w:rsidRDefault="00000000">
      <w:pPr>
        <w:pStyle w:val="Obsah1"/>
        <w:rPr>
          <w:rFonts w:ascii="Calibri" w:hAnsi="Calibri" w:cs="Times New Roman"/>
          <w:bCs w:val="0"/>
          <w:caps w:val="0"/>
          <w:kern w:val="2"/>
          <w:sz w:val="22"/>
          <w:szCs w:val="22"/>
        </w:rPr>
      </w:pPr>
      <w:hyperlink w:anchor="_Toc160019386" w:history="1">
        <w:r w:rsidR="00012267" w:rsidRPr="004C35B6">
          <w:rPr>
            <w:rStyle w:val="Hypertextovodkaz"/>
          </w:rPr>
          <w:t>5.</w:t>
        </w:r>
        <w:r w:rsidR="00012267">
          <w:rPr>
            <w:rFonts w:ascii="Calibri" w:hAnsi="Calibri" w:cs="Times New Roman"/>
            <w:bCs w:val="0"/>
            <w:caps w:val="0"/>
            <w:kern w:val="2"/>
            <w:sz w:val="22"/>
            <w:szCs w:val="22"/>
          </w:rPr>
          <w:tab/>
        </w:r>
        <w:r w:rsidR="00012267" w:rsidRPr="004C35B6">
          <w:rPr>
            <w:rStyle w:val="Hypertextovodkaz"/>
          </w:rPr>
          <w:t>HODNOCENÍ PLNĚNÍ ULOŽENÝCH NÁPRAVNÝCH OPATŘENÍ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_Toc160019386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15</w:t>
        </w:r>
        <w:r w:rsidR="00012267">
          <w:rPr>
            <w:webHidden/>
          </w:rPr>
          <w:fldChar w:fldCharType="end"/>
        </w:r>
      </w:hyperlink>
    </w:p>
    <w:p w14:paraId="37B66A81" w14:textId="71B018CB" w:rsidR="00012267" w:rsidRDefault="00000000">
      <w:pPr>
        <w:pStyle w:val="Obsah1"/>
        <w:rPr>
          <w:rFonts w:ascii="Calibri" w:hAnsi="Calibri" w:cs="Times New Roman"/>
          <w:bCs w:val="0"/>
          <w:caps w:val="0"/>
          <w:kern w:val="2"/>
          <w:sz w:val="22"/>
          <w:szCs w:val="22"/>
        </w:rPr>
      </w:pPr>
      <w:hyperlink w:anchor="_Toc160019387" w:history="1">
        <w:r w:rsidR="00012267" w:rsidRPr="004C35B6">
          <w:rPr>
            <w:rStyle w:val="Hypertextovodkaz"/>
          </w:rPr>
          <w:t>6.</w:t>
        </w:r>
        <w:r w:rsidR="00012267">
          <w:rPr>
            <w:rFonts w:ascii="Calibri" w:hAnsi="Calibri" w:cs="Times New Roman"/>
            <w:bCs w:val="0"/>
            <w:caps w:val="0"/>
            <w:kern w:val="2"/>
            <w:sz w:val="22"/>
            <w:szCs w:val="22"/>
          </w:rPr>
          <w:tab/>
        </w:r>
        <w:r w:rsidR="00012267" w:rsidRPr="004C35B6">
          <w:rPr>
            <w:rStyle w:val="Hypertextovodkaz"/>
          </w:rPr>
          <w:t>ZÁVĚR</w:t>
        </w:r>
        <w:r w:rsidR="00012267">
          <w:rPr>
            <w:webHidden/>
          </w:rPr>
          <w:tab/>
        </w:r>
        <w:r w:rsidR="00012267">
          <w:rPr>
            <w:webHidden/>
          </w:rPr>
          <w:fldChar w:fldCharType="begin"/>
        </w:r>
        <w:r w:rsidR="00012267">
          <w:rPr>
            <w:webHidden/>
          </w:rPr>
          <w:instrText xml:space="preserve"> PAGEREF _Toc160019387 \h </w:instrText>
        </w:r>
        <w:r w:rsidR="00012267">
          <w:rPr>
            <w:webHidden/>
          </w:rPr>
        </w:r>
        <w:r w:rsidR="00012267">
          <w:rPr>
            <w:webHidden/>
          </w:rPr>
          <w:fldChar w:fldCharType="separate"/>
        </w:r>
        <w:r w:rsidR="00012267">
          <w:rPr>
            <w:webHidden/>
          </w:rPr>
          <w:t>15</w:t>
        </w:r>
        <w:r w:rsidR="00012267">
          <w:rPr>
            <w:webHidden/>
          </w:rPr>
          <w:fldChar w:fldCharType="end"/>
        </w:r>
      </w:hyperlink>
    </w:p>
    <w:p w14:paraId="05967FE0" w14:textId="6C20A503" w:rsidR="0073685A" w:rsidRDefault="0073685A">
      <w:r w:rsidRPr="00095B9C">
        <w:rPr>
          <w:b/>
          <w:bCs/>
        </w:rPr>
        <w:fldChar w:fldCharType="end"/>
      </w:r>
    </w:p>
    <w:p w14:paraId="79B463E1" w14:textId="77777777" w:rsidR="00465383" w:rsidRPr="00207545" w:rsidRDefault="00465383" w:rsidP="005924C7">
      <w:pPr>
        <w:pStyle w:val="Zkladntext"/>
        <w:jc w:val="both"/>
        <w:rPr>
          <w:rFonts w:cs="Arial"/>
          <w:b w:val="0"/>
          <w:bCs w:val="0"/>
          <w:sz w:val="24"/>
        </w:rPr>
      </w:pPr>
    </w:p>
    <w:p w14:paraId="18689D19" w14:textId="77777777" w:rsidR="00A46D99" w:rsidRPr="00207545" w:rsidRDefault="00A46D99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005F7A10" w14:textId="77777777" w:rsidR="00554F53" w:rsidRPr="00207545" w:rsidRDefault="00554F53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69DA7135" w14:textId="77777777" w:rsidR="00554F53" w:rsidRPr="00207545" w:rsidRDefault="00554F53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7C35DD56" w14:textId="77777777" w:rsidR="00554F53" w:rsidRPr="00207545" w:rsidRDefault="00554F53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397927BA" w14:textId="77777777" w:rsidR="00554F53" w:rsidRPr="00207545" w:rsidRDefault="00554F53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77F5CB3B" w14:textId="77777777" w:rsidR="00554F53" w:rsidRDefault="00554F53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2B828D45" w14:textId="77777777" w:rsidR="00671471" w:rsidRDefault="00671471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4A726D34" w14:textId="77777777" w:rsidR="00671471" w:rsidRDefault="00671471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22D43544" w14:textId="77777777" w:rsidR="00671471" w:rsidRDefault="00671471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420C2F38" w14:textId="77777777" w:rsidR="00671471" w:rsidRDefault="00671471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687C560D" w14:textId="77777777" w:rsidR="00671471" w:rsidRPr="00207545" w:rsidRDefault="00671471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04FE2158" w14:textId="77777777" w:rsidR="00554F53" w:rsidRPr="00207545" w:rsidRDefault="00554F53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2451E0AC" w14:textId="77777777" w:rsidR="00554F53" w:rsidRPr="00207545" w:rsidRDefault="00554F53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7424E6B2" w14:textId="77777777" w:rsidR="00554F53" w:rsidRPr="00207545" w:rsidRDefault="00554F53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46B32E0E" w14:textId="77777777" w:rsidR="00ED5F6F" w:rsidRPr="00207545" w:rsidRDefault="00ED5F6F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62FA9E6F" w14:textId="77777777" w:rsidR="00ED5F6F" w:rsidRPr="00207545" w:rsidRDefault="00ED5F6F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439CEFE0" w14:textId="77777777" w:rsidR="00554F53" w:rsidRPr="00207545" w:rsidRDefault="00554F53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76AB3F43" w14:textId="77777777" w:rsidR="00554F53" w:rsidRPr="00207545" w:rsidRDefault="00554F53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22A6D3D8" w14:textId="77777777" w:rsidR="00554F53" w:rsidRPr="00207545" w:rsidRDefault="00554F53" w:rsidP="005924C7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7519CB86" w14:textId="77777777" w:rsidR="00A702BE" w:rsidRPr="00207545" w:rsidRDefault="00A702BE" w:rsidP="00671471">
      <w:pPr>
        <w:pStyle w:val="Nadpis1"/>
      </w:pPr>
      <w:bookmarkStart w:id="0" w:name="_Toc160019374"/>
      <w:r w:rsidRPr="00207545">
        <w:lastRenderedPageBreak/>
        <w:t>VYSVĚTLENÍ ZKRATEK</w:t>
      </w:r>
      <w:bookmarkEnd w:id="0"/>
    </w:p>
    <w:p w14:paraId="79A1CD83" w14:textId="77777777" w:rsidR="00A702BE" w:rsidRPr="00207545" w:rsidRDefault="00A702BE" w:rsidP="005924C7">
      <w:pPr>
        <w:rPr>
          <w:rFonts w:cs="Arial"/>
          <w:i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445852" w:rsidRPr="00207545" w14:paraId="235E016F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4F5601EA" w14:textId="77777777" w:rsidR="00445852" w:rsidRPr="00207545" w:rsidRDefault="0027010E" w:rsidP="00B54982">
            <w:pPr>
              <w:rPr>
                <w:rFonts w:cs="Arial"/>
              </w:rPr>
            </w:pPr>
            <w:r w:rsidRPr="00207545">
              <w:rPr>
                <w:rFonts w:cs="Arial"/>
              </w:rPr>
              <w:t>AO</w:t>
            </w:r>
          </w:p>
        </w:tc>
        <w:tc>
          <w:tcPr>
            <w:tcW w:w="6804" w:type="dxa"/>
            <w:vAlign w:val="center"/>
          </w:tcPr>
          <w:p w14:paraId="31945A6E" w14:textId="77777777" w:rsidR="00445852" w:rsidRPr="00207545" w:rsidRDefault="0027010E" w:rsidP="00D76FD2">
            <w:pPr>
              <w:rPr>
                <w:rFonts w:cs="Arial"/>
              </w:rPr>
            </w:pPr>
            <w:r w:rsidRPr="00207545">
              <w:rPr>
                <w:rFonts w:cs="Arial"/>
              </w:rPr>
              <w:t>Auditní orgán pro OP PMP</w:t>
            </w:r>
          </w:p>
        </w:tc>
      </w:tr>
      <w:tr w:rsidR="00A63992" w:rsidRPr="00207545" w14:paraId="6EBBE95E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6869C023" w14:textId="77777777" w:rsidR="00A63992" w:rsidRPr="00207545" w:rsidRDefault="00A63992" w:rsidP="00B54982">
            <w:pPr>
              <w:rPr>
                <w:rFonts w:cs="Arial"/>
              </w:rPr>
            </w:pPr>
            <w:r>
              <w:rPr>
                <w:rFonts w:cs="Arial"/>
              </w:rPr>
              <w:t>CMDB</w:t>
            </w:r>
          </w:p>
        </w:tc>
        <w:tc>
          <w:tcPr>
            <w:tcW w:w="6804" w:type="dxa"/>
            <w:vAlign w:val="center"/>
          </w:tcPr>
          <w:p w14:paraId="3BFCDD20" w14:textId="77777777" w:rsidR="00A63992" w:rsidRPr="00207545" w:rsidRDefault="00201505" w:rsidP="00D76FD2">
            <w:pPr>
              <w:rPr>
                <w:rFonts w:cs="Arial"/>
              </w:rPr>
            </w:pPr>
            <w:proofErr w:type="spellStart"/>
            <w:r w:rsidRPr="00201505">
              <w:rPr>
                <w:rFonts w:cs="Arial"/>
              </w:rPr>
              <w:t>Configuration</w:t>
            </w:r>
            <w:proofErr w:type="spellEnd"/>
            <w:r w:rsidRPr="00201505">
              <w:rPr>
                <w:rFonts w:cs="Arial"/>
              </w:rPr>
              <w:t xml:space="preserve"> Management Database – konfigurační databáze slouží k ukládání informací o konfiguračních položkách jako je např. hardware, software, síťové segmenty nebo lokality</w:t>
            </w:r>
          </w:p>
        </w:tc>
      </w:tr>
      <w:tr w:rsidR="00B21D70" w:rsidRPr="00207545" w14:paraId="11FB4DE1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39F4A5B2" w14:textId="77777777" w:rsidR="00B21D70" w:rsidRDefault="00B21D70" w:rsidP="001C319E">
            <w:pPr>
              <w:rPr>
                <w:rFonts w:cs="Arial"/>
              </w:rPr>
            </w:pPr>
            <w:r>
              <w:rPr>
                <w:rFonts w:cs="Arial"/>
              </w:rPr>
              <w:t>ICT</w:t>
            </w:r>
          </w:p>
        </w:tc>
        <w:tc>
          <w:tcPr>
            <w:tcW w:w="6804" w:type="dxa"/>
            <w:vAlign w:val="center"/>
          </w:tcPr>
          <w:p w14:paraId="798582E4" w14:textId="59AC93DF" w:rsidR="00B21D70" w:rsidRDefault="00B21D70" w:rsidP="001C319E">
            <w:pPr>
              <w:rPr>
                <w:rFonts w:cs="Arial"/>
              </w:rPr>
            </w:pPr>
            <w:r>
              <w:rPr>
                <w:rFonts w:cs="Arial"/>
              </w:rPr>
              <w:t xml:space="preserve">Informační </w:t>
            </w:r>
            <w:r w:rsidR="00E241AC">
              <w:rPr>
                <w:rFonts w:cs="Arial"/>
              </w:rPr>
              <w:t xml:space="preserve">a komunikační </w:t>
            </w:r>
            <w:r>
              <w:rPr>
                <w:rFonts w:cs="Arial"/>
              </w:rPr>
              <w:t>technologie</w:t>
            </w:r>
          </w:p>
        </w:tc>
      </w:tr>
      <w:tr w:rsidR="00A63992" w:rsidRPr="00207545" w14:paraId="1E0C7A09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70E77DB0" w14:textId="77777777" w:rsidR="00A63992" w:rsidRDefault="00A63992" w:rsidP="001C319E">
            <w:pPr>
              <w:rPr>
                <w:rFonts w:cs="Arial"/>
              </w:rPr>
            </w:pPr>
            <w:r>
              <w:rPr>
                <w:rFonts w:cs="Arial"/>
              </w:rPr>
              <w:t>ISMS</w:t>
            </w:r>
          </w:p>
        </w:tc>
        <w:tc>
          <w:tcPr>
            <w:tcW w:w="6804" w:type="dxa"/>
            <w:vAlign w:val="center"/>
          </w:tcPr>
          <w:p w14:paraId="7BCDB7AE" w14:textId="77777777" w:rsidR="00A63992" w:rsidRDefault="00201505" w:rsidP="001C319E">
            <w:pPr>
              <w:rPr>
                <w:rFonts w:cs="Arial"/>
              </w:rPr>
            </w:pPr>
            <w:proofErr w:type="spellStart"/>
            <w:r w:rsidRPr="00201505">
              <w:rPr>
                <w:rFonts w:cs="Arial"/>
              </w:rPr>
              <w:t>Information</w:t>
            </w:r>
            <w:proofErr w:type="spellEnd"/>
            <w:r w:rsidRPr="00201505">
              <w:rPr>
                <w:rFonts w:cs="Arial"/>
              </w:rPr>
              <w:t xml:space="preserve"> </w:t>
            </w:r>
            <w:proofErr w:type="spellStart"/>
            <w:r w:rsidRPr="00201505">
              <w:rPr>
                <w:rFonts w:cs="Arial"/>
              </w:rPr>
              <w:t>Security</w:t>
            </w:r>
            <w:proofErr w:type="spellEnd"/>
            <w:r w:rsidRPr="00201505">
              <w:rPr>
                <w:rFonts w:cs="Arial"/>
              </w:rPr>
              <w:t xml:space="preserve"> Management </w:t>
            </w:r>
            <w:proofErr w:type="spellStart"/>
            <w:r w:rsidRPr="00201505">
              <w:rPr>
                <w:rFonts w:cs="Arial"/>
              </w:rPr>
              <w:t>Syst</w:t>
            </w:r>
            <w:r>
              <w:rPr>
                <w:rFonts w:cs="Arial"/>
              </w:rPr>
              <w:t>e</w:t>
            </w:r>
            <w:r w:rsidRPr="00201505">
              <w:rPr>
                <w:rFonts w:cs="Arial"/>
              </w:rPr>
              <w:t>m</w:t>
            </w:r>
            <w:proofErr w:type="spellEnd"/>
            <w:r w:rsidRPr="00201505">
              <w:rPr>
                <w:rFonts w:cs="Arial"/>
              </w:rPr>
              <w:t xml:space="preserve"> – Systém řízení bezpečnosti informací</w:t>
            </w:r>
          </w:p>
        </w:tc>
      </w:tr>
      <w:tr w:rsidR="00B21D70" w:rsidRPr="00207545" w14:paraId="023E066A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5FB26D6E" w14:textId="77777777" w:rsidR="00B21D70" w:rsidRDefault="00B21D70" w:rsidP="001C319E">
            <w:pPr>
              <w:rPr>
                <w:rFonts w:cs="Arial"/>
              </w:rPr>
            </w:pPr>
            <w:r>
              <w:rPr>
                <w:rFonts w:cs="Arial"/>
              </w:rPr>
              <w:t>KB</w:t>
            </w:r>
          </w:p>
        </w:tc>
        <w:tc>
          <w:tcPr>
            <w:tcW w:w="6804" w:type="dxa"/>
            <w:vAlign w:val="center"/>
          </w:tcPr>
          <w:p w14:paraId="5B1CFDB6" w14:textId="77777777" w:rsidR="00B21D70" w:rsidRDefault="00B21D70" w:rsidP="001C319E">
            <w:pPr>
              <w:rPr>
                <w:rFonts w:cs="Arial"/>
              </w:rPr>
            </w:pPr>
            <w:r>
              <w:rPr>
                <w:rFonts w:cs="Arial"/>
              </w:rPr>
              <w:t>Kybernetická bezpečnost</w:t>
            </w:r>
          </w:p>
        </w:tc>
      </w:tr>
      <w:tr w:rsidR="00E2207A" w:rsidRPr="00207545" w14:paraId="74AB9809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7732684C" w14:textId="5EE6CBAF" w:rsidR="00E2207A" w:rsidRDefault="00E2207A" w:rsidP="001C319E">
            <w:pPr>
              <w:rPr>
                <w:rFonts w:cs="Arial"/>
              </w:rPr>
            </w:pPr>
            <w:r>
              <w:rPr>
                <w:rFonts w:cs="Arial"/>
              </w:rPr>
              <w:t>Kritéria 3E</w:t>
            </w:r>
          </w:p>
        </w:tc>
        <w:tc>
          <w:tcPr>
            <w:tcW w:w="6804" w:type="dxa"/>
            <w:vAlign w:val="center"/>
          </w:tcPr>
          <w:p w14:paraId="63D81BB3" w14:textId="766C907A" w:rsidR="00E2207A" w:rsidRDefault="00E2207A" w:rsidP="001C319E">
            <w:pPr>
              <w:rPr>
                <w:rFonts w:cs="Arial"/>
              </w:rPr>
            </w:pPr>
            <w:r>
              <w:rPr>
                <w:rFonts w:cs="Arial"/>
              </w:rPr>
              <w:t xml:space="preserve">Kritéria </w:t>
            </w:r>
            <w:r w:rsidRPr="00E2207A">
              <w:rPr>
                <w:rFonts w:cs="Arial"/>
              </w:rPr>
              <w:t>hospodárnosti, efektivnosti a účelnosti</w:t>
            </w:r>
          </w:p>
        </w:tc>
      </w:tr>
      <w:tr w:rsidR="001C319E" w:rsidRPr="00207545" w14:paraId="462F407F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2088B513" w14:textId="77777777" w:rsidR="001C319E" w:rsidRPr="00207545" w:rsidRDefault="001C319E" w:rsidP="001C319E">
            <w:pPr>
              <w:rPr>
                <w:rFonts w:cs="Arial"/>
              </w:rPr>
            </w:pPr>
            <w:r w:rsidRPr="00207545">
              <w:rPr>
                <w:rFonts w:cs="Arial"/>
              </w:rPr>
              <w:t>MPSV</w:t>
            </w:r>
          </w:p>
        </w:tc>
        <w:tc>
          <w:tcPr>
            <w:tcW w:w="6804" w:type="dxa"/>
            <w:vAlign w:val="center"/>
          </w:tcPr>
          <w:p w14:paraId="379765F5" w14:textId="77777777" w:rsidR="001C319E" w:rsidRPr="00207545" w:rsidRDefault="001C319E" w:rsidP="001C319E">
            <w:pPr>
              <w:rPr>
                <w:rFonts w:cs="Arial"/>
              </w:rPr>
            </w:pPr>
            <w:r w:rsidRPr="00207545">
              <w:rPr>
                <w:rFonts w:cs="Arial"/>
              </w:rPr>
              <w:t>Ministerstvo práce a sociálních věcí</w:t>
            </w:r>
          </w:p>
        </w:tc>
      </w:tr>
      <w:tr w:rsidR="001C319E" w:rsidRPr="00207545" w14:paraId="4A34A12B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1DCA0F79" w14:textId="77777777" w:rsidR="001C319E" w:rsidRPr="00207545" w:rsidRDefault="001C319E" w:rsidP="001C319E">
            <w:pPr>
              <w:rPr>
                <w:rFonts w:cs="Arial"/>
              </w:rPr>
            </w:pPr>
            <w:r w:rsidRPr="00207545">
              <w:rPr>
                <w:rFonts w:cs="Arial"/>
              </w:rPr>
              <w:t>NO</w:t>
            </w:r>
          </w:p>
        </w:tc>
        <w:tc>
          <w:tcPr>
            <w:tcW w:w="6804" w:type="dxa"/>
            <w:vAlign w:val="center"/>
          </w:tcPr>
          <w:p w14:paraId="6BC0456F" w14:textId="77777777" w:rsidR="001C319E" w:rsidRPr="00207545" w:rsidRDefault="001C319E" w:rsidP="001C319E">
            <w:pPr>
              <w:rPr>
                <w:rFonts w:cs="Arial"/>
              </w:rPr>
            </w:pPr>
            <w:r w:rsidRPr="00207545">
              <w:rPr>
                <w:rFonts w:cs="Arial"/>
              </w:rPr>
              <w:t>Nápravná opatření</w:t>
            </w:r>
          </w:p>
        </w:tc>
      </w:tr>
      <w:tr w:rsidR="00E2207A" w:rsidRPr="00207545" w14:paraId="7D9EAF7A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204BFD14" w14:textId="6E671EAC" w:rsidR="00E2207A" w:rsidRPr="00207545" w:rsidRDefault="00E2207A" w:rsidP="001C319E">
            <w:pPr>
              <w:rPr>
                <w:rFonts w:cs="Arial"/>
              </w:rPr>
            </w:pPr>
            <w:r>
              <w:rPr>
                <w:rFonts w:cs="Arial"/>
              </w:rPr>
              <w:t>NPO</w:t>
            </w:r>
          </w:p>
        </w:tc>
        <w:tc>
          <w:tcPr>
            <w:tcW w:w="6804" w:type="dxa"/>
            <w:vAlign w:val="center"/>
          </w:tcPr>
          <w:p w14:paraId="1E38A1AA" w14:textId="62D2E09B" w:rsidR="00E2207A" w:rsidRPr="00207545" w:rsidRDefault="00E2207A" w:rsidP="001C319E">
            <w:pPr>
              <w:rPr>
                <w:rFonts w:cs="Arial"/>
              </w:rPr>
            </w:pPr>
            <w:r>
              <w:rPr>
                <w:rFonts w:cs="Arial"/>
              </w:rPr>
              <w:t>Národní plán obnovy</w:t>
            </w:r>
          </w:p>
        </w:tc>
      </w:tr>
      <w:tr w:rsidR="001C319E" w:rsidRPr="00207545" w14:paraId="763F4756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6017D38C" w14:textId="77777777" w:rsidR="001C319E" w:rsidRPr="00207545" w:rsidRDefault="001C319E" w:rsidP="001C319E">
            <w:pPr>
              <w:rPr>
                <w:rFonts w:cs="Arial"/>
              </w:rPr>
            </w:pPr>
            <w:r w:rsidRPr="00207545">
              <w:rPr>
                <w:rFonts w:cs="Arial"/>
              </w:rPr>
              <w:t>OPZ</w:t>
            </w:r>
            <w:r w:rsidR="002609D7">
              <w:rPr>
                <w:rFonts w:cs="Arial"/>
              </w:rPr>
              <w:t>, OPZ+</w:t>
            </w:r>
          </w:p>
        </w:tc>
        <w:tc>
          <w:tcPr>
            <w:tcW w:w="6804" w:type="dxa"/>
            <w:vAlign w:val="center"/>
          </w:tcPr>
          <w:p w14:paraId="0D1B9567" w14:textId="77777777" w:rsidR="001C319E" w:rsidRPr="00207545" w:rsidRDefault="001C319E" w:rsidP="001C319E">
            <w:pPr>
              <w:rPr>
                <w:rFonts w:cs="Arial"/>
              </w:rPr>
            </w:pPr>
            <w:r w:rsidRPr="00207545">
              <w:rPr>
                <w:rFonts w:cs="Arial"/>
              </w:rPr>
              <w:t>Operační program Zaměstnanost</w:t>
            </w:r>
            <w:r w:rsidR="007A4907">
              <w:rPr>
                <w:rFonts w:cs="Arial"/>
              </w:rPr>
              <w:t>, Zaměstnanost+</w:t>
            </w:r>
          </w:p>
        </w:tc>
      </w:tr>
      <w:tr w:rsidR="001C319E" w:rsidRPr="00207545" w14:paraId="5BE9E079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74A0B3E9" w14:textId="77777777" w:rsidR="001C319E" w:rsidRPr="00207545" w:rsidRDefault="001C319E" w:rsidP="001C319E">
            <w:pPr>
              <w:rPr>
                <w:rFonts w:cs="Arial"/>
              </w:rPr>
            </w:pPr>
            <w:r w:rsidRPr="00207545">
              <w:rPr>
                <w:rFonts w:cs="Arial"/>
              </w:rPr>
              <w:t>OP PMP</w:t>
            </w:r>
          </w:p>
        </w:tc>
        <w:tc>
          <w:tcPr>
            <w:tcW w:w="6804" w:type="dxa"/>
            <w:vAlign w:val="center"/>
          </w:tcPr>
          <w:p w14:paraId="5422F3A5" w14:textId="77777777" w:rsidR="001C319E" w:rsidRPr="00207545" w:rsidRDefault="001C319E" w:rsidP="001C319E">
            <w:pPr>
              <w:rPr>
                <w:rFonts w:cs="Arial"/>
              </w:rPr>
            </w:pPr>
            <w:r w:rsidRPr="00207545">
              <w:rPr>
                <w:rFonts w:cs="Arial"/>
              </w:rPr>
              <w:t>Operační program potravinové a materiální pomoci</w:t>
            </w:r>
          </w:p>
        </w:tc>
      </w:tr>
      <w:tr w:rsidR="001C319E" w:rsidRPr="00207545" w14:paraId="022A90EC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36557280" w14:textId="77777777" w:rsidR="001C319E" w:rsidRPr="00207545" w:rsidRDefault="001C319E" w:rsidP="001C319E">
            <w:pPr>
              <w:rPr>
                <w:rFonts w:cs="Arial"/>
              </w:rPr>
            </w:pPr>
            <w:r w:rsidRPr="00207545">
              <w:rPr>
                <w:rFonts w:cs="Arial"/>
              </w:rPr>
              <w:t>PM</w:t>
            </w:r>
            <w:r w:rsidR="00D51A2A" w:rsidRPr="00207545"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7166B99" w14:textId="77777777" w:rsidR="001C319E" w:rsidRPr="00207545" w:rsidRDefault="001C319E" w:rsidP="001C319E">
            <w:pPr>
              <w:rPr>
                <w:rFonts w:cs="Arial"/>
              </w:rPr>
            </w:pPr>
            <w:r w:rsidRPr="00207545">
              <w:rPr>
                <w:rFonts w:cs="Arial"/>
              </w:rPr>
              <w:t>Příkaz ministra</w:t>
            </w:r>
            <w:r w:rsidR="00D51A2A" w:rsidRPr="00207545">
              <w:rPr>
                <w:rFonts w:cs="Arial"/>
              </w:rPr>
              <w:t xml:space="preserve"> </w:t>
            </w:r>
          </w:p>
        </w:tc>
      </w:tr>
      <w:tr w:rsidR="000D27C9" w:rsidRPr="00207545" w14:paraId="3B7D0885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36065406" w14:textId="77777777" w:rsidR="000D27C9" w:rsidRPr="00207545" w:rsidRDefault="000D27C9" w:rsidP="000D27C9">
            <w:pPr>
              <w:rPr>
                <w:rFonts w:cs="Arial"/>
              </w:rPr>
            </w:pPr>
            <w:r w:rsidRPr="00207545">
              <w:rPr>
                <w:rFonts w:cs="Arial"/>
              </w:rPr>
              <w:t>PRV</w:t>
            </w:r>
          </w:p>
        </w:tc>
        <w:tc>
          <w:tcPr>
            <w:tcW w:w="6804" w:type="dxa"/>
            <w:vAlign w:val="center"/>
          </w:tcPr>
          <w:p w14:paraId="2BD23D0E" w14:textId="77777777" w:rsidR="000D27C9" w:rsidRPr="00207545" w:rsidRDefault="000D27C9" w:rsidP="000D27C9">
            <w:pPr>
              <w:rPr>
                <w:rFonts w:cs="Arial"/>
              </w:rPr>
            </w:pPr>
            <w:r w:rsidRPr="00207545">
              <w:rPr>
                <w:rFonts w:cs="Arial"/>
              </w:rPr>
              <w:t>Požadavek na rozpočtový výdaj</w:t>
            </w:r>
          </w:p>
        </w:tc>
      </w:tr>
      <w:tr w:rsidR="000D27C9" w:rsidRPr="00207545" w14:paraId="0791CAB7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46BCA644" w14:textId="77777777" w:rsidR="000D27C9" w:rsidRPr="00207545" w:rsidRDefault="000D27C9" w:rsidP="000D27C9">
            <w:pPr>
              <w:rPr>
                <w:rFonts w:cs="Arial"/>
              </w:rPr>
            </w:pPr>
            <w:r w:rsidRPr="00207545">
              <w:rPr>
                <w:rFonts w:cs="Arial"/>
              </w:rPr>
              <w:t>SAP, EKIS</w:t>
            </w:r>
          </w:p>
        </w:tc>
        <w:tc>
          <w:tcPr>
            <w:tcW w:w="6804" w:type="dxa"/>
            <w:vAlign w:val="center"/>
          </w:tcPr>
          <w:p w14:paraId="4E435146" w14:textId="77777777" w:rsidR="000D27C9" w:rsidRPr="00207545" w:rsidRDefault="000D27C9" w:rsidP="000D27C9">
            <w:pPr>
              <w:rPr>
                <w:rFonts w:cs="Arial"/>
              </w:rPr>
            </w:pPr>
            <w:r w:rsidRPr="00207545">
              <w:rPr>
                <w:rFonts w:cs="Arial"/>
              </w:rPr>
              <w:t>Ekonomický informační systém</w:t>
            </w:r>
          </w:p>
        </w:tc>
      </w:tr>
      <w:tr w:rsidR="00A63992" w:rsidRPr="00207545" w14:paraId="79DDEA75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7F1A919D" w14:textId="77777777" w:rsidR="00A63992" w:rsidRPr="00207545" w:rsidRDefault="00A63992" w:rsidP="000D27C9">
            <w:pPr>
              <w:rPr>
                <w:rFonts w:cs="Arial"/>
              </w:rPr>
            </w:pPr>
            <w:r>
              <w:rPr>
                <w:rFonts w:cs="Arial"/>
              </w:rPr>
              <w:t>SGEI</w:t>
            </w:r>
          </w:p>
        </w:tc>
        <w:tc>
          <w:tcPr>
            <w:tcW w:w="6804" w:type="dxa"/>
            <w:vAlign w:val="center"/>
          </w:tcPr>
          <w:p w14:paraId="39512AA6" w14:textId="77777777" w:rsidR="00A63992" w:rsidRPr="00207545" w:rsidRDefault="00201505" w:rsidP="000D27C9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01505">
              <w:rPr>
                <w:rFonts w:cs="Arial"/>
              </w:rPr>
              <w:t>lužby obecného hospodářského zájmu</w:t>
            </w:r>
          </w:p>
        </w:tc>
      </w:tr>
      <w:tr w:rsidR="00A63992" w:rsidRPr="00207545" w14:paraId="28AAE037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517887A2" w14:textId="77777777" w:rsidR="00A63992" w:rsidRDefault="00A63992" w:rsidP="000D27C9">
            <w:pPr>
              <w:rPr>
                <w:rFonts w:cs="Arial"/>
              </w:rPr>
            </w:pPr>
            <w:r>
              <w:rPr>
                <w:rFonts w:cs="Arial"/>
              </w:rPr>
              <w:t>SIEM</w:t>
            </w:r>
          </w:p>
        </w:tc>
        <w:tc>
          <w:tcPr>
            <w:tcW w:w="6804" w:type="dxa"/>
            <w:vAlign w:val="center"/>
          </w:tcPr>
          <w:p w14:paraId="17F838E1" w14:textId="77777777" w:rsidR="00A63992" w:rsidRPr="00207545" w:rsidRDefault="00201505" w:rsidP="000D27C9">
            <w:pPr>
              <w:rPr>
                <w:rFonts w:cs="Arial"/>
              </w:rPr>
            </w:pPr>
            <w:proofErr w:type="spellStart"/>
            <w:r w:rsidRPr="00201505">
              <w:rPr>
                <w:rFonts w:cs="Arial"/>
              </w:rPr>
              <w:t>Security</w:t>
            </w:r>
            <w:proofErr w:type="spellEnd"/>
            <w:r w:rsidRPr="00201505">
              <w:rPr>
                <w:rFonts w:cs="Arial"/>
              </w:rPr>
              <w:t xml:space="preserve"> </w:t>
            </w:r>
            <w:proofErr w:type="spellStart"/>
            <w:r w:rsidRPr="00201505">
              <w:rPr>
                <w:rFonts w:cs="Arial"/>
              </w:rPr>
              <w:t>Information</w:t>
            </w:r>
            <w:proofErr w:type="spellEnd"/>
            <w:r w:rsidRPr="00201505">
              <w:rPr>
                <w:rFonts w:cs="Arial"/>
              </w:rPr>
              <w:t xml:space="preserve"> Event Management – systém pro správu bezpečnostních informací a událostí. Jedná se o analytický software, který sbírá a koreluje události z bezpečnostních a síťových zařízení, případně z aplikací. Dokáže identifikovat podezřelé události, jako jsou stažení souborů nebo příliš vysoký přenos informací</w:t>
            </w:r>
          </w:p>
        </w:tc>
      </w:tr>
      <w:tr w:rsidR="00A63992" w:rsidRPr="00207545" w14:paraId="00B84226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3E68549B" w14:textId="77777777" w:rsidR="00A63992" w:rsidRDefault="00A63992" w:rsidP="000D27C9">
            <w:pPr>
              <w:rPr>
                <w:rFonts w:cs="Arial"/>
              </w:rPr>
            </w:pPr>
            <w:r>
              <w:rPr>
                <w:rFonts w:cs="Arial"/>
              </w:rPr>
              <w:t>SR</w:t>
            </w:r>
          </w:p>
        </w:tc>
        <w:tc>
          <w:tcPr>
            <w:tcW w:w="6804" w:type="dxa"/>
            <w:vAlign w:val="center"/>
          </w:tcPr>
          <w:p w14:paraId="438281BF" w14:textId="77777777" w:rsidR="00A63992" w:rsidRPr="00207545" w:rsidRDefault="00A63992" w:rsidP="000D27C9">
            <w:pPr>
              <w:rPr>
                <w:rFonts w:cs="Arial"/>
              </w:rPr>
            </w:pPr>
            <w:r>
              <w:rPr>
                <w:rFonts w:cs="Arial"/>
              </w:rPr>
              <w:t>Státní rozpočet</w:t>
            </w:r>
          </w:p>
        </w:tc>
      </w:tr>
      <w:tr w:rsidR="00A63992" w:rsidRPr="00207545" w14:paraId="330E4FDB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37CE6367" w14:textId="77777777" w:rsidR="00A63992" w:rsidRDefault="00A63992" w:rsidP="000D27C9">
            <w:pPr>
              <w:rPr>
                <w:rFonts w:cs="Arial"/>
              </w:rPr>
            </w:pPr>
            <w:r>
              <w:rPr>
                <w:rFonts w:cs="Arial"/>
              </w:rPr>
              <w:t>SŘ</w:t>
            </w:r>
          </w:p>
        </w:tc>
        <w:tc>
          <w:tcPr>
            <w:tcW w:w="6804" w:type="dxa"/>
            <w:vAlign w:val="center"/>
          </w:tcPr>
          <w:p w14:paraId="03C837B8" w14:textId="77777777" w:rsidR="00A63992" w:rsidRDefault="00201505" w:rsidP="000D27C9">
            <w:pPr>
              <w:rPr>
                <w:rFonts w:cs="Arial"/>
              </w:rPr>
            </w:pPr>
            <w:r>
              <w:rPr>
                <w:rFonts w:cs="Arial"/>
              </w:rPr>
              <w:t>Zákon č. 500/2004 Sb., správní řád, ve znění pozdějších předpisů</w:t>
            </w:r>
          </w:p>
        </w:tc>
      </w:tr>
      <w:tr w:rsidR="00A63992" w:rsidRPr="00207545" w14:paraId="26E7598A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471A5F5F" w14:textId="77777777" w:rsidR="00A63992" w:rsidRPr="00207545" w:rsidRDefault="00A63992" w:rsidP="000D27C9">
            <w:pPr>
              <w:rPr>
                <w:rFonts w:cs="Arial"/>
              </w:rPr>
            </w:pPr>
            <w:r>
              <w:rPr>
                <w:rFonts w:cs="Arial"/>
              </w:rPr>
              <w:t>ÚP</w:t>
            </w:r>
          </w:p>
        </w:tc>
        <w:tc>
          <w:tcPr>
            <w:tcW w:w="6804" w:type="dxa"/>
            <w:vAlign w:val="center"/>
          </w:tcPr>
          <w:p w14:paraId="59C99F0B" w14:textId="77777777" w:rsidR="00A63992" w:rsidRPr="00207545" w:rsidRDefault="00A63992" w:rsidP="000D27C9">
            <w:pPr>
              <w:rPr>
                <w:rFonts w:cs="Arial"/>
              </w:rPr>
            </w:pPr>
            <w:r w:rsidRPr="00A63992">
              <w:rPr>
                <w:rFonts w:cs="Arial"/>
              </w:rPr>
              <w:t>Úřad práce České republiky</w:t>
            </w:r>
          </w:p>
        </w:tc>
      </w:tr>
      <w:tr w:rsidR="00A63992" w:rsidRPr="00207545" w14:paraId="4A9DA738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1462D63B" w14:textId="77777777" w:rsidR="00A63992" w:rsidRDefault="00A63992" w:rsidP="000D27C9">
            <w:pPr>
              <w:rPr>
                <w:rFonts w:cs="Arial"/>
              </w:rPr>
            </w:pPr>
            <w:r>
              <w:rPr>
                <w:rFonts w:cs="Arial"/>
              </w:rPr>
              <w:t>VKB</w:t>
            </w:r>
          </w:p>
        </w:tc>
        <w:tc>
          <w:tcPr>
            <w:tcW w:w="6804" w:type="dxa"/>
            <w:vAlign w:val="center"/>
          </w:tcPr>
          <w:p w14:paraId="2EC159C5" w14:textId="77777777" w:rsidR="00A63992" w:rsidRPr="00207545" w:rsidRDefault="00A63992" w:rsidP="000D27C9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A63992">
              <w:rPr>
                <w:rFonts w:cs="Arial"/>
              </w:rPr>
              <w:t>yhláška č. 82/2018 Sb., o bezpečnostních opatřeních, kybernetických bezpečnostních incidentech, reaktivních opatřeních, náležitostech podání v oblasti kybernetické bezpečnosti a likvidaci dat (vyhláška o kybernetické bezpečnosti)</w:t>
            </w:r>
          </w:p>
        </w:tc>
      </w:tr>
      <w:tr w:rsidR="00A63992" w:rsidRPr="00207545" w14:paraId="4D73DDF2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1D24E238" w14:textId="77777777" w:rsidR="00A63992" w:rsidRDefault="00A63992" w:rsidP="000D27C9">
            <w:pPr>
              <w:rPr>
                <w:rFonts w:cs="Arial"/>
              </w:rPr>
            </w:pPr>
            <w:r>
              <w:rPr>
                <w:rFonts w:cs="Arial"/>
              </w:rPr>
              <w:t>VZMR</w:t>
            </w:r>
          </w:p>
        </w:tc>
        <w:tc>
          <w:tcPr>
            <w:tcW w:w="6804" w:type="dxa"/>
            <w:vAlign w:val="center"/>
          </w:tcPr>
          <w:p w14:paraId="2B072DC6" w14:textId="77777777" w:rsidR="00A63992" w:rsidRPr="00207545" w:rsidRDefault="00A63992" w:rsidP="000D27C9">
            <w:pPr>
              <w:rPr>
                <w:rFonts w:cs="Arial"/>
              </w:rPr>
            </w:pPr>
            <w:r>
              <w:rPr>
                <w:rFonts w:cs="Arial"/>
              </w:rPr>
              <w:t>Veřejná zakázka malého rozsahu</w:t>
            </w:r>
          </w:p>
        </w:tc>
      </w:tr>
      <w:tr w:rsidR="000D27C9" w:rsidRPr="00207545" w14:paraId="13920B5F" w14:textId="77777777" w:rsidTr="00013FE6">
        <w:trPr>
          <w:trHeight w:val="397"/>
          <w:jc w:val="center"/>
        </w:trPr>
        <w:tc>
          <w:tcPr>
            <w:tcW w:w="2268" w:type="dxa"/>
            <w:vAlign w:val="center"/>
          </w:tcPr>
          <w:p w14:paraId="71165EA8" w14:textId="77777777" w:rsidR="000D27C9" w:rsidRPr="00207545" w:rsidRDefault="000D27C9" w:rsidP="000D27C9">
            <w:pPr>
              <w:rPr>
                <w:rFonts w:cs="Arial"/>
              </w:rPr>
            </w:pPr>
            <w:r w:rsidRPr="00207545">
              <w:rPr>
                <w:rFonts w:cs="Arial"/>
              </w:rPr>
              <w:t>ZAZ</w:t>
            </w:r>
          </w:p>
        </w:tc>
        <w:tc>
          <w:tcPr>
            <w:tcW w:w="6804" w:type="dxa"/>
            <w:vAlign w:val="center"/>
          </w:tcPr>
          <w:p w14:paraId="023A59C2" w14:textId="77777777" w:rsidR="000D27C9" w:rsidRPr="00207545" w:rsidRDefault="000D27C9" w:rsidP="000D27C9">
            <w:pPr>
              <w:rPr>
                <w:rFonts w:cs="Arial"/>
              </w:rPr>
            </w:pPr>
            <w:r w:rsidRPr="00207545">
              <w:rPr>
                <w:rFonts w:cs="Arial"/>
              </w:rPr>
              <w:t>Závěrečná auditorská zpráva</w:t>
            </w:r>
          </w:p>
        </w:tc>
      </w:tr>
      <w:tr w:rsidR="000D27C9" w:rsidRPr="00207545" w14:paraId="59A3B07C" w14:textId="77777777" w:rsidTr="000C75F3">
        <w:trPr>
          <w:trHeight w:val="454"/>
          <w:jc w:val="center"/>
        </w:trPr>
        <w:tc>
          <w:tcPr>
            <w:tcW w:w="2268" w:type="dxa"/>
            <w:vAlign w:val="center"/>
          </w:tcPr>
          <w:p w14:paraId="64CAEF36" w14:textId="77777777" w:rsidR="000D27C9" w:rsidRPr="00207545" w:rsidRDefault="00C67ED0" w:rsidP="000D27C9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0D27C9" w:rsidRPr="00FD0C48">
              <w:rPr>
                <w:rFonts w:cs="Arial"/>
              </w:rPr>
              <w:t>ákon č. 218/2000 Sb.</w:t>
            </w:r>
          </w:p>
        </w:tc>
        <w:tc>
          <w:tcPr>
            <w:tcW w:w="6804" w:type="dxa"/>
            <w:vAlign w:val="center"/>
          </w:tcPr>
          <w:p w14:paraId="5847E832" w14:textId="77777777" w:rsidR="000D27C9" w:rsidRPr="00207545" w:rsidRDefault="000D27C9" w:rsidP="000D27C9">
            <w:pPr>
              <w:rPr>
                <w:rFonts w:cs="Arial"/>
              </w:rPr>
            </w:pPr>
            <w:r w:rsidRPr="00013FE6">
              <w:rPr>
                <w:rFonts w:cs="Arial"/>
              </w:rPr>
              <w:t>Zákon č. 218/2000 Sb., o rozpočtových pravidlech a o změně některých souvisejících zákonů (rozpočtová pravidla), ve znění pozdějších předpisů </w:t>
            </w:r>
          </w:p>
        </w:tc>
      </w:tr>
      <w:tr w:rsidR="000D27C9" w:rsidRPr="00207545" w14:paraId="2DC8104E" w14:textId="77777777" w:rsidTr="000C75F3">
        <w:trPr>
          <w:trHeight w:val="454"/>
          <w:jc w:val="center"/>
        </w:trPr>
        <w:tc>
          <w:tcPr>
            <w:tcW w:w="2268" w:type="dxa"/>
            <w:vAlign w:val="center"/>
          </w:tcPr>
          <w:p w14:paraId="77B67B95" w14:textId="77777777" w:rsidR="000D27C9" w:rsidRPr="00207545" w:rsidRDefault="00C67ED0" w:rsidP="000D27C9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0D27C9" w:rsidRPr="00207545">
              <w:rPr>
                <w:rFonts w:cs="Arial"/>
              </w:rPr>
              <w:t>ákon o finanční kontrole</w:t>
            </w:r>
          </w:p>
        </w:tc>
        <w:tc>
          <w:tcPr>
            <w:tcW w:w="6804" w:type="dxa"/>
            <w:vAlign w:val="center"/>
          </w:tcPr>
          <w:p w14:paraId="2EAFEA9B" w14:textId="77777777" w:rsidR="000D27C9" w:rsidRPr="00207545" w:rsidRDefault="000D27C9" w:rsidP="000D27C9">
            <w:pPr>
              <w:rPr>
                <w:rFonts w:cs="Arial"/>
              </w:rPr>
            </w:pPr>
            <w:r w:rsidRPr="00207545">
              <w:rPr>
                <w:rFonts w:cs="Arial"/>
              </w:rPr>
              <w:t xml:space="preserve">Zákon </w:t>
            </w:r>
            <w:r w:rsidRPr="00207545">
              <w:t>č. 320/2001 Sb., o finanční kontrole ve veřejné správě a o změně některých zákonů (zákon o finanční kontrole), ve znění pozdějších předpisů</w:t>
            </w:r>
          </w:p>
        </w:tc>
      </w:tr>
    </w:tbl>
    <w:p w14:paraId="6F264B90" w14:textId="77777777" w:rsidR="00554F53" w:rsidRPr="00207545" w:rsidRDefault="00554F53" w:rsidP="002264B4">
      <w:pPr>
        <w:ind w:left="709" w:hanging="709"/>
        <w:rPr>
          <w:rFonts w:cs="Arial"/>
        </w:rPr>
      </w:pPr>
    </w:p>
    <w:p w14:paraId="2B2DBB3D" w14:textId="77777777" w:rsidR="00830BB4" w:rsidRDefault="00830BB4" w:rsidP="002264B4">
      <w:pPr>
        <w:ind w:left="709" w:hanging="709"/>
        <w:rPr>
          <w:rFonts w:cs="Arial"/>
        </w:rPr>
      </w:pPr>
    </w:p>
    <w:p w14:paraId="0313D61E" w14:textId="77777777" w:rsidR="00DA0A4B" w:rsidRPr="00207545" w:rsidRDefault="00DA0A4B" w:rsidP="00671471">
      <w:pPr>
        <w:pStyle w:val="Nadpis1"/>
      </w:pPr>
      <w:bookmarkStart w:id="1" w:name="_Toc160019375"/>
      <w:r w:rsidRPr="00207545">
        <w:lastRenderedPageBreak/>
        <w:t>ÚVOD</w:t>
      </w:r>
      <w:bookmarkEnd w:id="1"/>
    </w:p>
    <w:p w14:paraId="2B09DFE4" w14:textId="77777777" w:rsidR="00A702BE" w:rsidRPr="00207545" w:rsidRDefault="00A702BE" w:rsidP="00D745B4">
      <w:pPr>
        <w:rPr>
          <w:rFonts w:cs="Arial"/>
          <w:sz w:val="32"/>
          <w:szCs w:val="32"/>
        </w:rPr>
      </w:pPr>
    </w:p>
    <w:p w14:paraId="34DF0100" w14:textId="77777777" w:rsidR="00A702BE" w:rsidRPr="00207545" w:rsidRDefault="00A702BE" w:rsidP="00D745B4">
      <w:pPr>
        <w:pStyle w:val="Zkladntextodsazen3"/>
        <w:ind w:firstLine="0"/>
      </w:pPr>
      <w:r w:rsidRPr="00207545">
        <w:t xml:space="preserve">Na základě ustanovení § 31 odst. 3 zákona </w:t>
      </w:r>
      <w:r w:rsidR="00035868">
        <w:t xml:space="preserve">č. 320/2001 Sb., </w:t>
      </w:r>
      <w:r w:rsidR="00427638" w:rsidRPr="00207545">
        <w:t>o finanční kontrole</w:t>
      </w:r>
      <w:r w:rsidR="00D93249" w:rsidRPr="00207545">
        <w:t xml:space="preserve"> </w:t>
      </w:r>
      <w:r w:rsidR="00035868" w:rsidRPr="00207545">
        <w:t>ve veřejné správě a o změně některých zákonů (zákon o finanční kontrole), ve znění pozdějších předpisů</w:t>
      </w:r>
      <w:r w:rsidR="00035868">
        <w:t>,</w:t>
      </w:r>
      <w:r w:rsidR="00035868" w:rsidRPr="00207545">
        <w:t xml:space="preserve"> </w:t>
      </w:r>
      <w:r w:rsidRPr="00207545">
        <w:t>a v souladu s mezinárodně uznávanými standardy</w:t>
      </w:r>
      <w:r w:rsidRPr="00207545">
        <w:rPr>
          <w:rStyle w:val="Znakapoznpodarou"/>
        </w:rPr>
        <w:footnoteReference w:id="1"/>
      </w:r>
      <w:r w:rsidRPr="00207545">
        <w:t xml:space="preserve"> předkládá ředitelka odboru </w:t>
      </w:r>
      <w:r w:rsidR="000F1FCC" w:rsidRPr="00207545">
        <w:t xml:space="preserve">12 </w:t>
      </w:r>
      <w:r w:rsidRPr="00207545">
        <w:t>ministr</w:t>
      </w:r>
      <w:r w:rsidR="00A07615" w:rsidRPr="00207545">
        <w:t>ovi</w:t>
      </w:r>
      <w:r w:rsidR="00340F5D" w:rsidRPr="00207545">
        <w:t xml:space="preserve"> </w:t>
      </w:r>
      <w:r w:rsidRPr="00207545">
        <w:t xml:space="preserve">práce a sociálních věcí </w:t>
      </w:r>
      <w:r w:rsidR="006747D2" w:rsidRPr="00207545">
        <w:t>R</w:t>
      </w:r>
      <w:r w:rsidRPr="00207545">
        <w:t>oční zprávu o vykonaných auditech za rok 20</w:t>
      </w:r>
      <w:r w:rsidR="009E3EAC" w:rsidRPr="00207545">
        <w:t>2</w:t>
      </w:r>
      <w:r w:rsidR="0024788C">
        <w:t>3</w:t>
      </w:r>
      <w:r w:rsidRPr="00207545">
        <w:t>.</w:t>
      </w:r>
    </w:p>
    <w:p w14:paraId="6A363F4E" w14:textId="77777777" w:rsidR="00E90FBC" w:rsidRPr="00207545" w:rsidRDefault="00E90FBC" w:rsidP="00D745B4">
      <w:pPr>
        <w:pStyle w:val="Zkladntextodsazen3"/>
        <w:ind w:firstLine="0"/>
        <w:rPr>
          <w:sz w:val="32"/>
          <w:szCs w:val="32"/>
        </w:rPr>
      </w:pPr>
    </w:p>
    <w:p w14:paraId="3E27792A" w14:textId="77777777" w:rsidR="00775BD5" w:rsidRPr="00207545" w:rsidRDefault="0007738F" w:rsidP="00671471">
      <w:pPr>
        <w:pStyle w:val="Nadpis1"/>
      </w:pPr>
      <w:bookmarkStart w:id="2" w:name="_Toc160019376"/>
      <w:r>
        <w:t>SOUHRN</w:t>
      </w:r>
      <w:r w:rsidR="00AD086F" w:rsidRPr="00207545">
        <w:t xml:space="preserve"> </w:t>
      </w:r>
      <w:r w:rsidR="00775BD5" w:rsidRPr="00207545">
        <w:t>AUDITNÍ ČINNOST</w:t>
      </w:r>
      <w:r w:rsidR="00AD086F" w:rsidRPr="00207545">
        <w:t>I</w:t>
      </w:r>
      <w:r w:rsidR="00775BD5" w:rsidRPr="00207545">
        <w:t xml:space="preserve"> V</w:t>
      </w:r>
      <w:r w:rsidR="005A3C56" w:rsidRPr="00207545">
        <w:t xml:space="preserve"> </w:t>
      </w:r>
      <w:r w:rsidR="00775BD5" w:rsidRPr="00207545">
        <w:t>ROCE 20</w:t>
      </w:r>
      <w:r w:rsidR="00517DB7" w:rsidRPr="00207545">
        <w:t>2</w:t>
      </w:r>
      <w:r w:rsidR="0024788C">
        <w:t>3</w:t>
      </w:r>
      <w:bookmarkEnd w:id="2"/>
    </w:p>
    <w:p w14:paraId="0B601455" w14:textId="77777777" w:rsidR="007F3087" w:rsidRPr="00207545" w:rsidRDefault="007F3087" w:rsidP="002264B4">
      <w:pPr>
        <w:pStyle w:val="Zkladntextodsazen3"/>
        <w:ind w:left="709" w:hanging="709"/>
        <w:rPr>
          <w:sz w:val="32"/>
          <w:szCs w:val="32"/>
        </w:rPr>
      </w:pPr>
    </w:p>
    <w:p w14:paraId="7FF8ACB5" w14:textId="77777777" w:rsidR="00AF61BA" w:rsidRPr="00371468" w:rsidRDefault="00AF61BA" w:rsidP="00AF61BA">
      <w:pPr>
        <w:pStyle w:val="Zkladntextodsazen3"/>
        <w:ind w:firstLine="0"/>
      </w:pPr>
      <w:bookmarkStart w:id="3" w:name="_Hlk159916985"/>
      <w:r w:rsidRPr="00371468">
        <w:t xml:space="preserve">Z </w:t>
      </w:r>
      <w:r w:rsidR="00517DB7" w:rsidRPr="00371468">
        <w:rPr>
          <w:b/>
          <w:bCs/>
        </w:rPr>
        <w:t>5</w:t>
      </w:r>
      <w:r w:rsidRPr="00371468">
        <w:t xml:space="preserve"> </w:t>
      </w:r>
      <w:r w:rsidRPr="00371468">
        <w:rPr>
          <w:b/>
        </w:rPr>
        <w:t xml:space="preserve">auditů </w:t>
      </w:r>
      <w:r w:rsidRPr="00371468">
        <w:t>zařazených do Plánu auditů Auditního orgánu</w:t>
      </w:r>
      <w:r w:rsidR="002609D7">
        <w:t xml:space="preserve"> OP PMP</w:t>
      </w:r>
      <w:r w:rsidRPr="00371468">
        <w:t xml:space="preserve"> na rok 20</w:t>
      </w:r>
      <w:r w:rsidR="00517DB7" w:rsidRPr="00371468">
        <w:t>2</w:t>
      </w:r>
      <w:r w:rsidR="0024788C">
        <w:t>3</w:t>
      </w:r>
    </w:p>
    <w:p w14:paraId="0206A5ED" w14:textId="77777777" w:rsidR="00AF61BA" w:rsidRPr="00371468" w:rsidRDefault="00AF61BA" w:rsidP="00247522">
      <w:pPr>
        <w:ind w:left="567" w:hanging="567"/>
        <w:rPr>
          <w:rFonts w:cs="Arial"/>
          <w:b/>
        </w:rPr>
      </w:pPr>
    </w:p>
    <w:p w14:paraId="54182679" w14:textId="77777777" w:rsidR="00AF61BA" w:rsidRPr="00371468" w:rsidRDefault="00AF61BA" w:rsidP="00251279">
      <w:pPr>
        <w:pStyle w:val="Zkladntextodsazen3"/>
        <w:numPr>
          <w:ilvl w:val="0"/>
          <w:numId w:val="5"/>
        </w:numPr>
        <w:ind w:left="357" w:hanging="357"/>
      </w:pPr>
      <w:r w:rsidRPr="00371468">
        <w:t xml:space="preserve">bylo </w:t>
      </w:r>
      <w:r w:rsidRPr="00845D7C">
        <w:t xml:space="preserve">všech </w:t>
      </w:r>
      <w:r w:rsidR="00517DB7" w:rsidRPr="00845D7C">
        <w:t>5</w:t>
      </w:r>
      <w:r w:rsidRPr="00845D7C">
        <w:t xml:space="preserve"> auditů</w:t>
      </w:r>
      <w:r w:rsidRPr="00371468">
        <w:rPr>
          <w:b/>
        </w:rPr>
        <w:t xml:space="preserve"> </w:t>
      </w:r>
      <w:r w:rsidRPr="00371468">
        <w:t>ukončeno, a to:</w:t>
      </w:r>
    </w:p>
    <w:p w14:paraId="3D88E4B3" w14:textId="77777777" w:rsidR="00251279" w:rsidRPr="00371468" w:rsidRDefault="00251279" w:rsidP="00251279">
      <w:pPr>
        <w:pStyle w:val="Zkladntextodsazen3"/>
        <w:ind w:left="357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771"/>
      </w:tblGrid>
      <w:tr w:rsidR="00AF61BA" w:rsidRPr="00371468" w14:paraId="291A01D0" w14:textId="77777777" w:rsidTr="00F74E5B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A715B" w14:textId="77777777" w:rsidR="00AF61BA" w:rsidRPr="00371468" w:rsidRDefault="00AF61BA" w:rsidP="00AF61BA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audit č. 1/20</w:t>
            </w:r>
            <w:r w:rsidR="00F543D1" w:rsidRPr="00371468">
              <w:rPr>
                <w:rFonts w:cs="Arial"/>
              </w:rPr>
              <w:t>2</w:t>
            </w:r>
            <w:r w:rsidR="0024788C">
              <w:rPr>
                <w:rFonts w:cs="Arial"/>
              </w:rPr>
              <w:t>3</w:t>
            </w:r>
            <w:r w:rsidRPr="00371468">
              <w:rPr>
                <w:rFonts w:cs="Arial"/>
              </w:rPr>
              <w:t>/AO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9117" w14:textId="77777777" w:rsidR="00AF61BA" w:rsidRPr="00371468" w:rsidRDefault="00AF61BA" w:rsidP="00F74E5B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Audit účetní závěrky</w:t>
            </w:r>
            <w:r w:rsidR="00F60BDC">
              <w:rPr>
                <w:rFonts w:cs="Arial"/>
              </w:rPr>
              <w:t xml:space="preserve"> OP PMP</w:t>
            </w:r>
            <w:r w:rsidRPr="00371468">
              <w:rPr>
                <w:rFonts w:cs="Arial"/>
              </w:rPr>
              <w:t>,</w:t>
            </w:r>
          </w:p>
        </w:tc>
      </w:tr>
      <w:tr w:rsidR="00AF61BA" w:rsidRPr="00371468" w14:paraId="25DC30E6" w14:textId="77777777" w:rsidTr="00F74E5B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455F6" w14:textId="77777777" w:rsidR="00AF61BA" w:rsidRPr="00371468" w:rsidRDefault="00AF61BA" w:rsidP="00AF61BA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audit č. 2/20</w:t>
            </w:r>
            <w:r w:rsidR="00F543D1" w:rsidRPr="00371468">
              <w:rPr>
                <w:rFonts w:cs="Arial"/>
              </w:rPr>
              <w:t>2</w:t>
            </w:r>
            <w:r w:rsidR="0024788C">
              <w:rPr>
                <w:rFonts w:cs="Arial"/>
              </w:rPr>
              <w:t>3</w:t>
            </w:r>
            <w:r w:rsidRPr="00371468">
              <w:rPr>
                <w:rFonts w:cs="Arial"/>
              </w:rPr>
              <w:t>/AO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B08F" w14:textId="77777777" w:rsidR="00AF61BA" w:rsidRPr="00371468" w:rsidRDefault="00517DB7" w:rsidP="00F74E5B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V</w:t>
            </w:r>
            <w:r w:rsidR="00AF61BA" w:rsidRPr="00371468">
              <w:rPr>
                <w:rFonts w:cs="Arial"/>
              </w:rPr>
              <w:t>ybran</w:t>
            </w:r>
            <w:r w:rsidRPr="00371468">
              <w:rPr>
                <w:rFonts w:cs="Arial"/>
              </w:rPr>
              <w:t>ý</w:t>
            </w:r>
            <w:r w:rsidR="00AF61BA" w:rsidRPr="00371468">
              <w:rPr>
                <w:rFonts w:cs="Arial"/>
              </w:rPr>
              <w:t xml:space="preserve"> projekt financovan</w:t>
            </w:r>
            <w:r w:rsidRPr="00371468">
              <w:rPr>
                <w:rFonts w:cs="Arial"/>
              </w:rPr>
              <w:t>ý</w:t>
            </w:r>
            <w:r w:rsidR="00AF61BA" w:rsidRPr="00371468">
              <w:rPr>
                <w:rFonts w:cs="Arial"/>
              </w:rPr>
              <w:t xml:space="preserve"> z</w:t>
            </w:r>
            <w:r w:rsidR="006651D2" w:rsidRPr="00371468">
              <w:rPr>
                <w:rFonts w:cs="Arial"/>
              </w:rPr>
              <w:t xml:space="preserve"> </w:t>
            </w:r>
            <w:r w:rsidR="00AF61BA" w:rsidRPr="00371468">
              <w:rPr>
                <w:rFonts w:cs="Arial"/>
              </w:rPr>
              <w:t>OP PMP,</w:t>
            </w:r>
          </w:p>
        </w:tc>
      </w:tr>
      <w:tr w:rsidR="00AF61BA" w:rsidRPr="00371468" w14:paraId="63214FE4" w14:textId="77777777" w:rsidTr="00F74E5B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C9DF5" w14:textId="77777777" w:rsidR="00AF61BA" w:rsidRPr="00371468" w:rsidRDefault="00AF61BA" w:rsidP="00AF61BA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audit č. 3/20</w:t>
            </w:r>
            <w:r w:rsidR="00F543D1" w:rsidRPr="00371468">
              <w:rPr>
                <w:rFonts w:cs="Arial"/>
              </w:rPr>
              <w:t>2</w:t>
            </w:r>
            <w:r w:rsidR="0024788C">
              <w:rPr>
                <w:rFonts w:cs="Arial"/>
              </w:rPr>
              <w:t>3</w:t>
            </w:r>
            <w:r w:rsidRPr="00371468">
              <w:rPr>
                <w:rFonts w:cs="Arial"/>
              </w:rPr>
              <w:t>/AO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46E8A" w14:textId="77777777" w:rsidR="00AF61BA" w:rsidRPr="00371468" w:rsidRDefault="00F543D1" w:rsidP="00F74E5B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V</w:t>
            </w:r>
            <w:r w:rsidR="00AF61BA" w:rsidRPr="00371468">
              <w:rPr>
                <w:rFonts w:cs="Arial"/>
              </w:rPr>
              <w:t>ybran</w:t>
            </w:r>
            <w:r w:rsidRPr="00371468">
              <w:rPr>
                <w:rFonts w:cs="Arial"/>
              </w:rPr>
              <w:t>ý</w:t>
            </w:r>
            <w:r w:rsidR="00AF61BA" w:rsidRPr="00371468">
              <w:rPr>
                <w:rFonts w:cs="Arial"/>
              </w:rPr>
              <w:t xml:space="preserve"> projekt financovan</w:t>
            </w:r>
            <w:r w:rsidRPr="00371468">
              <w:rPr>
                <w:rFonts w:cs="Arial"/>
              </w:rPr>
              <w:t>ý</w:t>
            </w:r>
            <w:r w:rsidR="00AF61BA" w:rsidRPr="00371468">
              <w:rPr>
                <w:rFonts w:cs="Arial"/>
              </w:rPr>
              <w:t xml:space="preserve"> z</w:t>
            </w:r>
            <w:r w:rsidR="006651D2" w:rsidRPr="00371468">
              <w:rPr>
                <w:rFonts w:cs="Arial"/>
              </w:rPr>
              <w:t xml:space="preserve"> </w:t>
            </w:r>
            <w:r w:rsidR="00AF61BA" w:rsidRPr="00371468">
              <w:rPr>
                <w:rFonts w:cs="Arial"/>
              </w:rPr>
              <w:t>OP PMP,</w:t>
            </w:r>
          </w:p>
        </w:tc>
      </w:tr>
      <w:tr w:rsidR="00AF61BA" w:rsidRPr="00371468" w14:paraId="04258CC4" w14:textId="77777777" w:rsidTr="00F74E5B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2BAAB" w14:textId="77777777" w:rsidR="00AF61BA" w:rsidRPr="00371468" w:rsidRDefault="00AF61BA" w:rsidP="00AF61BA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audit č. 4/20</w:t>
            </w:r>
            <w:r w:rsidR="00F543D1" w:rsidRPr="00371468">
              <w:rPr>
                <w:rFonts w:cs="Arial"/>
              </w:rPr>
              <w:t>2</w:t>
            </w:r>
            <w:r w:rsidR="0024788C">
              <w:rPr>
                <w:rFonts w:cs="Arial"/>
              </w:rPr>
              <w:t>3</w:t>
            </w:r>
            <w:r w:rsidRPr="00371468">
              <w:rPr>
                <w:rFonts w:cs="Arial"/>
              </w:rPr>
              <w:t>/AO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FE79E" w14:textId="77777777" w:rsidR="00AF61BA" w:rsidRPr="00371468" w:rsidRDefault="00F543D1" w:rsidP="00F74E5B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Vybraný projekt financovaný z</w:t>
            </w:r>
            <w:r w:rsidR="006651D2" w:rsidRPr="00371468">
              <w:rPr>
                <w:rFonts w:cs="Arial"/>
              </w:rPr>
              <w:t xml:space="preserve"> </w:t>
            </w:r>
            <w:r w:rsidRPr="00371468">
              <w:rPr>
                <w:rFonts w:cs="Arial"/>
              </w:rPr>
              <w:t>OP PMP</w:t>
            </w:r>
            <w:r w:rsidR="00AF61BA" w:rsidRPr="00371468">
              <w:rPr>
                <w:rFonts w:cs="Arial"/>
              </w:rPr>
              <w:t>,</w:t>
            </w:r>
          </w:p>
        </w:tc>
      </w:tr>
      <w:tr w:rsidR="00AF61BA" w:rsidRPr="00371468" w14:paraId="3FF60692" w14:textId="77777777" w:rsidTr="00F74E5B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5F20D" w14:textId="77777777" w:rsidR="00AF61BA" w:rsidRPr="00371468" w:rsidRDefault="00AF61BA" w:rsidP="00AF61BA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audit č. 5/20</w:t>
            </w:r>
            <w:r w:rsidR="00F543D1" w:rsidRPr="00371468">
              <w:rPr>
                <w:rFonts w:cs="Arial"/>
              </w:rPr>
              <w:t>2</w:t>
            </w:r>
            <w:r w:rsidR="0024788C">
              <w:rPr>
                <w:rFonts w:cs="Arial"/>
              </w:rPr>
              <w:t>3</w:t>
            </w:r>
            <w:r w:rsidRPr="00371468">
              <w:rPr>
                <w:rFonts w:cs="Arial"/>
              </w:rPr>
              <w:t>/AO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3B511" w14:textId="77777777" w:rsidR="00AF61BA" w:rsidRPr="00371468" w:rsidRDefault="00F543D1" w:rsidP="00F74E5B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Operační program potravinové a materiální pomoci na MPSV.</w:t>
            </w:r>
          </w:p>
        </w:tc>
      </w:tr>
      <w:bookmarkEnd w:id="3"/>
    </w:tbl>
    <w:p w14:paraId="5C66EE1F" w14:textId="77777777" w:rsidR="004D7C02" w:rsidRDefault="004D7C02" w:rsidP="004D7C02">
      <w:pPr>
        <w:pStyle w:val="Zkladntextodsazen3"/>
        <w:ind w:firstLine="0"/>
      </w:pPr>
    </w:p>
    <w:p w14:paraId="73CA085B" w14:textId="77777777" w:rsidR="004D7C02" w:rsidRPr="00371468" w:rsidRDefault="004D7C02" w:rsidP="004D7C02">
      <w:pPr>
        <w:pStyle w:val="Zkladntextodsazen3"/>
        <w:ind w:firstLine="0"/>
      </w:pPr>
      <w:r w:rsidRPr="00371468">
        <w:t>Z</w:t>
      </w:r>
      <w:r>
        <w:t xml:space="preserve">e </w:t>
      </w:r>
      <w:r w:rsidRPr="004D7C02">
        <w:rPr>
          <w:b/>
          <w:bCs/>
        </w:rPr>
        <w:t>4</w:t>
      </w:r>
      <w:r w:rsidRPr="00371468">
        <w:t xml:space="preserve"> </w:t>
      </w:r>
      <w:r w:rsidRPr="00371468">
        <w:rPr>
          <w:b/>
        </w:rPr>
        <w:t xml:space="preserve">auditů </w:t>
      </w:r>
      <w:r w:rsidRPr="00371468">
        <w:t xml:space="preserve">zařazených do Plánu auditů </w:t>
      </w:r>
      <w:r>
        <w:t xml:space="preserve">- kybernetická bezpečnost </w:t>
      </w:r>
      <w:r w:rsidRPr="00371468">
        <w:t>na rok 202</w:t>
      </w:r>
      <w:r>
        <w:t>3</w:t>
      </w:r>
    </w:p>
    <w:p w14:paraId="28AF76E2" w14:textId="77777777" w:rsidR="004D7C02" w:rsidRPr="00371468" w:rsidRDefault="004D7C02" w:rsidP="004D7C02">
      <w:pPr>
        <w:ind w:left="567" w:hanging="567"/>
        <w:rPr>
          <w:rFonts w:cs="Arial"/>
          <w:b/>
        </w:rPr>
      </w:pPr>
    </w:p>
    <w:p w14:paraId="6E707E43" w14:textId="77777777" w:rsidR="004D7C02" w:rsidRPr="00371468" w:rsidRDefault="004D7C02" w:rsidP="004D7C02">
      <w:pPr>
        <w:pStyle w:val="Zkladntextodsazen3"/>
        <w:numPr>
          <w:ilvl w:val="0"/>
          <w:numId w:val="5"/>
        </w:numPr>
        <w:ind w:left="357" w:hanging="357"/>
      </w:pPr>
      <w:r w:rsidRPr="00371468">
        <w:t>byl</w:t>
      </w:r>
      <w:r>
        <w:t>y</w:t>
      </w:r>
      <w:r w:rsidRPr="00371468">
        <w:t xml:space="preserve"> </w:t>
      </w:r>
      <w:r>
        <w:t>3</w:t>
      </w:r>
      <w:r w:rsidRPr="00845D7C">
        <w:t xml:space="preserve"> audit</w:t>
      </w:r>
      <w:r>
        <w:t>y</w:t>
      </w:r>
      <w:r w:rsidRPr="00371468">
        <w:rPr>
          <w:b/>
        </w:rPr>
        <w:t xml:space="preserve"> </w:t>
      </w:r>
      <w:r w:rsidRPr="00371468">
        <w:t>ukončen</w:t>
      </w:r>
      <w:r>
        <w:t>y</w:t>
      </w:r>
      <w:r w:rsidRPr="00371468">
        <w:t xml:space="preserve">, </w:t>
      </w:r>
      <w:r>
        <w:t xml:space="preserve">1 audit byl přesunut na rok 2024, </w:t>
      </w:r>
      <w:r w:rsidRPr="00371468">
        <w:t>a to:</w:t>
      </w:r>
    </w:p>
    <w:p w14:paraId="6CA8B916" w14:textId="77777777" w:rsidR="004D7C02" w:rsidRPr="00371468" w:rsidRDefault="004D7C02" w:rsidP="004D7C02">
      <w:pPr>
        <w:pStyle w:val="Zkladntextodsazen3"/>
        <w:ind w:left="357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771"/>
      </w:tblGrid>
      <w:tr w:rsidR="004D7C02" w:rsidRPr="00371468" w14:paraId="13388A81" w14:textId="77777777" w:rsidTr="00F82CCD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17ECD" w14:textId="77777777" w:rsidR="004D7C02" w:rsidRPr="00371468" w:rsidRDefault="004D7C02" w:rsidP="00F82CCD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audit č. 1/202</w:t>
            </w:r>
            <w:r>
              <w:rPr>
                <w:rFonts w:cs="Arial"/>
              </w:rPr>
              <w:t>3</w:t>
            </w:r>
            <w:r w:rsidRPr="00371468">
              <w:rPr>
                <w:rFonts w:cs="Arial"/>
              </w:rPr>
              <w:t>/</w:t>
            </w:r>
            <w:r>
              <w:rPr>
                <w:rFonts w:cs="Arial"/>
              </w:rPr>
              <w:t>120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A310D" w14:textId="77777777" w:rsidR="004D7C02" w:rsidRPr="00371468" w:rsidRDefault="004D7C02" w:rsidP="00F82CCD">
            <w:pPr>
              <w:spacing w:after="120"/>
              <w:rPr>
                <w:rFonts w:cs="Arial"/>
              </w:rPr>
            </w:pPr>
            <w:r w:rsidRPr="004D7C02">
              <w:rPr>
                <w:rFonts w:cs="Arial"/>
              </w:rPr>
              <w:t>Audit KB – řízení aktiv</w:t>
            </w:r>
            <w:r w:rsidR="00EA1590">
              <w:rPr>
                <w:rFonts w:cs="Arial"/>
              </w:rPr>
              <w:t xml:space="preserve"> - </w:t>
            </w:r>
            <w:r w:rsidR="00EA1590" w:rsidRPr="00EA1590">
              <w:rPr>
                <w:rFonts w:cs="Arial"/>
                <w:b/>
                <w:bCs/>
                <w:i/>
                <w:iCs/>
              </w:rPr>
              <w:t>na žádost auditované strany přesunut na rok 2024</w:t>
            </w:r>
            <w:r w:rsidRPr="00EA1590">
              <w:rPr>
                <w:rFonts w:cs="Arial"/>
                <w:b/>
                <w:bCs/>
                <w:i/>
                <w:iCs/>
              </w:rPr>
              <w:t>,</w:t>
            </w:r>
          </w:p>
        </w:tc>
      </w:tr>
      <w:tr w:rsidR="004D7C02" w:rsidRPr="00371468" w14:paraId="2905C2A9" w14:textId="77777777" w:rsidTr="00F82CCD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634FA" w14:textId="77777777" w:rsidR="004D7C02" w:rsidRPr="00371468" w:rsidRDefault="004D7C02" w:rsidP="00F82CCD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audit č. 2/202</w:t>
            </w:r>
            <w:r>
              <w:rPr>
                <w:rFonts w:cs="Arial"/>
              </w:rPr>
              <w:t>3</w:t>
            </w:r>
            <w:r w:rsidRPr="00371468">
              <w:rPr>
                <w:rFonts w:cs="Arial"/>
              </w:rPr>
              <w:t>/</w:t>
            </w:r>
            <w:r>
              <w:rPr>
                <w:rFonts w:cs="Arial"/>
              </w:rPr>
              <w:t>120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B4AEB" w14:textId="77777777" w:rsidR="004D7C02" w:rsidRPr="00371468" w:rsidRDefault="004D7C02" w:rsidP="00F82CCD">
            <w:pPr>
              <w:spacing w:after="120"/>
              <w:rPr>
                <w:rFonts w:cs="Arial"/>
              </w:rPr>
            </w:pPr>
            <w:r w:rsidRPr="004D7C02">
              <w:rPr>
                <w:rFonts w:cs="Arial"/>
              </w:rPr>
              <w:t>Audit KB – implementace ISMS</w:t>
            </w:r>
            <w:r>
              <w:rPr>
                <w:rFonts w:cs="Arial"/>
              </w:rPr>
              <w:t xml:space="preserve"> (ÚP)</w:t>
            </w:r>
            <w:r w:rsidRPr="00371468">
              <w:rPr>
                <w:rFonts w:cs="Arial"/>
              </w:rPr>
              <w:t>,</w:t>
            </w:r>
          </w:p>
        </w:tc>
      </w:tr>
      <w:tr w:rsidR="004D7C02" w:rsidRPr="00371468" w14:paraId="6DA42842" w14:textId="77777777" w:rsidTr="00F82CCD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98417" w14:textId="77777777" w:rsidR="004D7C02" w:rsidRPr="00371468" w:rsidRDefault="004D7C02" w:rsidP="00F82CCD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audit č. 3/202</w:t>
            </w:r>
            <w:r>
              <w:rPr>
                <w:rFonts w:cs="Arial"/>
              </w:rPr>
              <w:t>3</w:t>
            </w:r>
            <w:r w:rsidRPr="00371468">
              <w:rPr>
                <w:rFonts w:cs="Arial"/>
              </w:rPr>
              <w:t>/</w:t>
            </w:r>
            <w:r>
              <w:rPr>
                <w:rFonts w:cs="Arial"/>
              </w:rPr>
              <w:t>120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D571F" w14:textId="77777777" w:rsidR="004D7C02" w:rsidRPr="00371468" w:rsidRDefault="004D7C02" w:rsidP="00F82CCD">
            <w:pPr>
              <w:spacing w:after="120"/>
              <w:rPr>
                <w:rFonts w:cs="Arial"/>
              </w:rPr>
            </w:pPr>
            <w:r w:rsidRPr="004D7C02">
              <w:rPr>
                <w:rFonts w:cs="Arial"/>
              </w:rPr>
              <w:t>Audit KB – kybernetické bezpečnostní události a incidenty</w:t>
            </w:r>
            <w:r w:rsidRPr="00371468">
              <w:rPr>
                <w:rFonts w:cs="Arial"/>
              </w:rPr>
              <w:t>,</w:t>
            </w:r>
          </w:p>
        </w:tc>
      </w:tr>
      <w:tr w:rsidR="004D7C02" w:rsidRPr="00371468" w14:paraId="598E244D" w14:textId="77777777" w:rsidTr="00F82CCD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970AD" w14:textId="77777777" w:rsidR="004D7C02" w:rsidRPr="00371468" w:rsidRDefault="004D7C02" w:rsidP="00F82CCD">
            <w:pPr>
              <w:spacing w:after="120"/>
              <w:rPr>
                <w:rFonts w:cs="Arial"/>
              </w:rPr>
            </w:pPr>
            <w:r w:rsidRPr="00371468">
              <w:rPr>
                <w:rFonts w:cs="Arial"/>
              </w:rPr>
              <w:t>audit č. 4/202</w:t>
            </w:r>
            <w:r>
              <w:rPr>
                <w:rFonts w:cs="Arial"/>
              </w:rPr>
              <w:t>3</w:t>
            </w:r>
            <w:r w:rsidRPr="00371468">
              <w:rPr>
                <w:rFonts w:cs="Arial"/>
              </w:rPr>
              <w:t>/</w:t>
            </w:r>
            <w:r>
              <w:rPr>
                <w:rFonts w:cs="Arial"/>
              </w:rPr>
              <w:t>120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46AB2" w14:textId="77777777" w:rsidR="004D7C02" w:rsidRPr="00371468" w:rsidRDefault="004D7C02" w:rsidP="00F82CCD">
            <w:pPr>
              <w:spacing w:after="120"/>
              <w:rPr>
                <w:rFonts w:cs="Arial"/>
              </w:rPr>
            </w:pPr>
            <w:r w:rsidRPr="004D7C02">
              <w:rPr>
                <w:rFonts w:cs="Arial"/>
              </w:rPr>
              <w:t>Audit KB - imp</w:t>
            </w:r>
            <w:r>
              <w:rPr>
                <w:rFonts w:cs="Arial"/>
              </w:rPr>
              <w:t>l</w:t>
            </w:r>
            <w:r w:rsidRPr="004D7C02">
              <w:rPr>
                <w:rFonts w:cs="Arial"/>
              </w:rPr>
              <w:t>ementace ISMS</w:t>
            </w:r>
            <w:r>
              <w:rPr>
                <w:rFonts w:cs="Arial"/>
              </w:rPr>
              <w:t xml:space="preserve"> (MPSV).</w:t>
            </w:r>
          </w:p>
        </w:tc>
      </w:tr>
    </w:tbl>
    <w:p w14:paraId="3D137EB5" w14:textId="77777777" w:rsidR="00371468" w:rsidRDefault="00371468" w:rsidP="00247522">
      <w:pPr>
        <w:ind w:left="567" w:hanging="567"/>
        <w:rPr>
          <w:rFonts w:cs="Arial"/>
          <w:b/>
          <w:sz w:val="32"/>
          <w:szCs w:val="32"/>
          <w:highlight w:val="yellow"/>
        </w:rPr>
      </w:pPr>
    </w:p>
    <w:p w14:paraId="2FF0AC56" w14:textId="77777777" w:rsidR="00371468" w:rsidRPr="005749B1" w:rsidRDefault="00371468" w:rsidP="00371468">
      <w:pPr>
        <w:pStyle w:val="Zkladntextodsazen3"/>
        <w:ind w:firstLine="0"/>
      </w:pPr>
      <w:r w:rsidRPr="005749B1">
        <w:t xml:space="preserve">Z </w:t>
      </w:r>
      <w:r w:rsidR="004D7C02">
        <w:rPr>
          <w:b/>
          <w:bCs/>
        </w:rPr>
        <w:t>5</w:t>
      </w:r>
      <w:r w:rsidRPr="005749B1">
        <w:rPr>
          <w:b/>
          <w:bCs/>
        </w:rPr>
        <w:t xml:space="preserve"> </w:t>
      </w:r>
      <w:r w:rsidRPr="005749B1">
        <w:rPr>
          <w:b/>
        </w:rPr>
        <w:t xml:space="preserve">auditů systému </w:t>
      </w:r>
      <w:r w:rsidRPr="005749B1">
        <w:t>zařazených do Plánu interních auditů MPSV na rok 202</w:t>
      </w:r>
      <w:r w:rsidR="0024788C">
        <w:t>3</w:t>
      </w:r>
    </w:p>
    <w:p w14:paraId="3F103D21" w14:textId="77777777" w:rsidR="00371468" w:rsidRPr="005749B1" w:rsidRDefault="00371468" w:rsidP="00371468">
      <w:pPr>
        <w:tabs>
          <w:tab w:val="left" w:pos="614"/>
        </w:tabs>
        <w:autoSpaceDE w:val="0"/>
        <w:autoSpaceDN w:val="0"/>
        <w:adjustRightInd w:val="0"/>
        <w:jc w:val="left"/>
        <w:rPr>
          <w:rFonts w:cs="Arial"/>
        </w:rPr>
      </w:pPr>
    </w:p>
    <w:p w14:paraId="6D05E551" w14:textId="77777777" w:rsidR="00371468" w:rsidRPr="00EA1590" w:rsidRDefault="00371468" w:rsidP="00A60502">
      <w:pPr>
        <w:pStyle w:val="Zkladntextodsazen3"/>
        <w:numPr>
          <w:ilvl w:val="0"/>
          <w:numId w:val="5"/>
        </w:numPr>
        <w:spacing w:after="120"/>
        <w:ind w:left="357" w:hanging="357"/>
      </w:pPr>
      <w:r w:rsidRPr="00EA1590">
        <w:t>byl</w:t>
      </w:r>
      <w:r w:rsidR="004D7C02" w:rsidRPr="00EA1590">
        <w:t>y</w:t>
      </w:r>
      <w:r w:rsidRPr="00EA1590">
        <w:t xml:space="preserve"> </w:t>
      </w:r>
      <w:r w:rsidR="004D7C02" w:rsidRPr="00EA1590">
        <w:t>4</w:t>
      </w:r>
      <w:r w:rsidRPr="00EA1590">
        <w:t xml:space="preserve"> audit</w:t>
      </w:r>
      <w:r w:rsidR="004D7C02" w:rsidRPr="00EA1590">
        <w:t>y</w:t>
      </w:r>
      <w:r w:rsidRPr="00EA1590">
        <w:t xml:space="preserve"> systému ukončen</w:t>
      </w:r>
      <w:r w:rsidR="004D7C02" w:rsidRPr="00EA1590">
        <w:t>y</w:t>
      </w:r>
      <w:r w:rsidRPr="00EA1590">
        <w:t>,</w:t>
      </w:r>
      <w:r w:rsidR="00EA1590" w:rsidRPr="00EA1590">
        <w:t xml:space="preserve"> 1 audit byl přesunut na rok 2024,</w:t>
      </w:r>
      <w:r w:rsidRPr="00EA1590">
        <w:t xml:space="preserve"> a to:</w:t>
      </w:r>
    </w:p>
    <w:p w14:paraId="163B3576" w14:textId="77777777" w:rsidR="00A60502" w:rsidRPr="00EA1590" w:rsidRDefault="00A60502" w:rsidP="00A60502">
      <w:pPr>
        <w:pStyle w:val="Zkladntextodsazen3"/>
        <w:spacing w:after="120"/>
        <w:ind w:left="357" w:firstLine="0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771"/>
      </w:tblGrid>
      <w:tr w:rsidR="00371468" w:rsidRPr="00EA1590" w14:paraId="7E6AC06E" w14:textId="77777777" w:rsidTr="007D30CF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EAC08" w14:textId="77777777" w:rsidR="00371468" w:rsidRPr="00EA1590" w:rsidRDefault="00371468" w:rsidP="007D30CF">
            <w:pPr>
              <w:spacing w:after="120"/>
              <w:rPr>
                <w:rFonts w:cs="Arial"/>
              </w:rPr>
            </w:pPr>
            <w:r w:rsidRPr="00EA1590">
              <w:rPr>
                <w:rFonts w:cs="Arial"/>
              </w:rPr>
              <w:t xml:space="preserve">audit č. </w:t>
            </w:r>
            <w:r w:rsidR="00EA1590" w:rsidRPr="00EA1590">
              <w:rPr>
                <w:rFonts w:cs="Arial"/>
              </w:rPr>
              <w:t>4</w:t>
            </w:r>
            <w:r w:rsidRPr="00EA1590">
              <w:rPr>
                <w:rFonts w:cs="Arial"/>
              </w:rPr>
              <w:t>/202</w:t>
            </w:r>
            <w:r w:rsidR="00EA1590" w:rsidRPr="00EA1590">
              <w:rPr>
                <w:rFonts w:cs="Arial"/>
              </w:rPr>
              <w:t>3</w:t>
            </w:r>
            <w:r w:rsidRPr="00EA1590">
              <w:rPr>
                <w:rFonts w:cs="Arial"/>
              </w:rPr>
              <w:t>/12</w:t>
            </w:r>
            <w:r w:rsidR="00EA1590" w:rsidRPr="00EA1590">
              <w:rPr>
                <w:rFonts w:cs="Arial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AA9A4" w14:textId="77777777" w:rsidR="00371468" w:rsidRPr="00EA1590" w:rsidRDefault="00EA1590" w:rsidP="007D30CF">
            <w:pPr>
              <w:spacing w:after="120"/>
              <w:rPr>
                <w:rFonts w:cs="Arial"/>
              </w:rPr>
            </w:pPr>
            <w:r w:rsidRPr="00EA1590">
              <w:rPr>
                <w:rFonts w:cs="Arial"/>
              </w:rPr>
              <w:t xml:space="preserve">Dotace v oblasti poskytování sociálních služeb </w:t>
            </w:r>
            <w:r w:rsidR="00C4252A">
              <w:rPr>
                <w:rFonts w:cs="Arial"/>
              </w:rPr>
              <w:br/>
            </w:r>
            <w:r w:rsidRPr="00EA1590">
              <w:rPr>
                <w:rFonts w:cs="Arial"/>
              </w:rPr>
              <w:t>s nadregionální či celostátní působností</w:t>
            </w:r>
            <w:r w:rsidR="00371468" w:rsidRPr="00EA1590">
              <w:rPr>
                <w:rFonts w:cs="Arial"/>
              </w:rPr>
              <w:t>,</w:t>
            </w:r>
          </w:p>
        </w:tc>
      </w:tr>
      <w:tr w:rsidR="00371468" w:rsidRPr="00EA1590" w14:paraId="1D527EC5" w14:textId="77777777" w:rsidTr="007D30CF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4394" w14:textId="77777777" w:rsidR="00371468" w:rsidRPr="00EA1590" w:rsidRDefault="00371468" w:rsidP="007D30CF">
            <w:pPr>
              <w:spacing w:after="120"/>
              <w:rPr>
                <w:rFonts w:cs="Arial"/>
              </w:rPr>
            </w:pPr>
            <w:r w:rsidRPr="00EA1590">
              <w:rPr>
                <w:rFonts w:cs="Arial"/>
              </w:rPr>
              <w:t xml:space="preserve">audit č. </w:t>
            </w:r>
            <w:r w:rsidR="00EA1590" w:rsidRPr="00EA1590">
              <w:rPr>
                <w:rFonts w:cs="Arial"/>
              </w:rPr>
              <w:t>6</w:t>
            </w:r>
            <w:r w:rsidRPr="00EA1590">
              <w:rPr>
                <w:rFonts w:cs="Arial"/>
              </w:rPr>
              <w:t>/202</w:t>
            </w:r>
            <w:r w:rsidR="00EA1590" w:rsidRPr="00EA1590">
              <w:rPr>
                <w:rFonts w:cs="Arial"/>
              </w:rPr>
              <w:t>3</w:t>
            </w:r>
            <w:r w:rsidRPr="00EA1590">
              <w:rPr>
                <w:rFonts w:cs="Arial"/>
              </w:rPr>
              <w:t>/121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7C47" w14:textId="77777777" w:rsidR="00371468" w:rsidRPr="00EA1590" w:rsidRDefault="00EA1590" w:rsidP="007D30CF">
            <w:pPr>
              <w:spacing w:after="120"/>
              <w:rPr>
                <w:rFonts w:cs="Arial"/>
              </w:rPr>
            </w:pPr>
            <w:r w:rsidRPr="00EA1590">
              <w:rPr>
                <w:rFonts w:cs="Arial"/>
              </w:rPr>
              <w:t>Zřizovací listiny</w:t>
            </w:r>
            <w:r w:rsidR="00371468" w:rsidRPr="00EA1590">
              <w:rPr>
                <w:rFonts w:cs="Arial"/>
              </w:rPr>
              <w:t>,</w:t>
            </w:r>
          </w:p>
        </w:tc>
      </w:tr>
      <w:tr w:rsidR="00371468" w:rsidRPr="00EA1590" w14:paraId="0E9D0E5E" w14:textId="77777777" w:rsidTr="007D30CF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61048" w14:textId="77777777" w:rsidR="00371468" w:rsidRPr="00EA1590" w:rsidRDefault="00371468" w:rsidP="007D30CF">
            <w:pPr>
              <w:spacing w:after="120"/>
              <w:rPr>
                <w:rFonts w:cs="Arial"/>
              </w:rPr>
            </w:pPr>
            <w:r w:rsidRPr="00EA1590">
              <w:rPr>
                <w:rFonts w:cs="Arial"/>
              </w:rPr>
              <w:t xml:space="preserve">audit č. </w:t>
            </w:r>
            <w:r w:rsidR="00EA1590" w:rsidRPr="00EA1590">
              <w:rPr>
                <w:rFonts w:cs="Arial"/>
              </w:rPr>
              <w:t>8</w:t>
            </w:r>
            <w:r w:rsidRPr="00EA1590">
              <w:rPr>
                <w:rFonts w:cs="Arial"/>
              </w:rPr>
              <w:t>/202</w:t>
            </w:r>
            <w:r w:rsidR="00EA1590" w:rsidRPr="00EA1590">
              <w:rPr>
                <w:rFonts w:cs="Arial"/>
              </w:rPr>
              <w:t>3</w:t>
            </w:r>
            <w:r w:rsidRPr="00EA1590">
              <w:rPr>
                <w:rFonts w:cs="Arial"/>
              </w:rPr>
              <w:t>/12</w:t>
            </w:r>
            <w:r w:rsidR="00EA1590" w:rsidRPr="00EA1590">
              <w:rPr>
                <w:rFonts w:cs="Arial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B3CED" w14:textId="77777777" w:rsidR="00371468" w:rsidRPr="00EA1590" w:rsidRDefault="00EA1590" w:rsidP="007D30CF">
            <w:pPr>
              <w:spacing w:after="120"/>
              <w:rPr>
                <w:rFonts w:cs="Arial"/>
              </w:rPr>
            </w:pPr>
            <w:r w:rsidRPr="00EA1590">
              <w:rPr>
                <w:rFonts w:cs="Arial"/>
              </w:rPr>
              <w:t>Dotace – sociální práce,</w:t>
            </w:r>
          </w:p>
        </w:tc>
      </w:tr>
      <w:tr w:rsidR="00371468" w:rsidRPr="00EA1590" w14:paraId="1A57C0ED" w14:textId="77777777" w:rsidTr="007D30CF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CE8F4" w14:textId="77777777" w:rsidR="00371468" w:rsidRPr="00EA1590" w:rsidRDefault="00371468" w:rsidP="007D30CF">
            <w:pPr>
              <w:spacing w:after="120"/>
              <w:rPr>
                <w:rFonts w:cs="Arial"/>
              </w:rPr>
            </w:pPr>
            <w:r w:rsidRPr="00EA1590">
              <w:rPr>
                <w:rFonts w:cs="Arial"/>
              </w:rPr>
              <w:t xml:space="preserve">audit č. </w:t>
            </w:r>
            <w:r w:rsidR="00EA1590" w:rsidRPr="00EA1590">
              <w:rPr>
                <w:rFonts w:cs="Arial"/>
              </w:rPr>
              <w:t>10</w:t>
            </w:r>
            <w:r w:rsidRPr="00EA1590">
              <w:rPr>
                <w:rFonts w:cs="Arial"/>
              </w:rPr>
              <w:t>/202</w:t>
            </w:r>
            <w:r w:rsidR="00EA1590" w:rsidRPr="00EA1590">
              <w:rPr>
                <w:rFonts w:cs="Arial"/>
              </w:rPr>
              <w:t>3</w:t>
            </w:r>
            <w:r w:rsidRPr="00EA1590">
              <w:rPr>
                <w:rFonts w:cs="Arial"/>
              </w:rPr>
              <w:t>/121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1AEB2" w14:textId="77777777" w:rsidR="00371468" w:rsidRPr="00EA1590" w:rsidRDefault="00EA1590" w:rsidP="007D30CF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EA1590">
              <w:rPr>
                <w:rFonts w:cs="Arial"/>
              </w:rPr>
              <w:t>Kvalita řízení úřadu se zaměřením na vnitřní předpisy</w:t>
            </w:r>
            <w:r w:rsidR="00371468" w:rsidRPr="00EA1590">
              <w:rPr>
                <w:rFonts w:cs="Arial"/>
                <w:b/>
                <w:bCs/>
                <w:i/>
                <w:iCs/>
              </w:rPr>
              <w:t>,</w:t>
            </w:r>
          </w:p>
        </w:tc>
      </w:tr>
      <w:tr w:rsidR="00371468" w:rsidRPr="0084750F" w14:paraId="12122E16" w14:textId="77777777" w:rsidTr="007D30CF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10AE8" w14:textId="77777777" w:rsidR="00371468" w:rsidRPr="00EA1590" w:rsidRDefault="00371468" w:rsidP="007D30CF">
            <w:pPr>
              <w:spacing w:after="120"/>
              <w:rPr>
                <w:rFonts w:cs="Arial"/>
              </w:rPr>
            </w:pPr>
            <w:r w:rsidRPr="00EA1590">
              <w:rPr>
                <w:rFonts w:cs="Arial"/>
              </w:rPr>
              <w:t xml:space="preserve">audit č. </w:t>
            </w:r>
            <w:r w:rsidR="00EA1590" w:rsidRPr="00EA1590">
              <w:rPr>
                <w:rFonts w:cs="Arial"/>
              </w:rPr>
              <w:t>12</w:t>
            </w:r>
            <w:r w:rsidRPr="00EA1590">
              <w:rPr>
                <w:rFonts w:cs="Arial"/>
              </w:rPr>
              <w:t>/202</w:t>
            </w:r>
            <w:r w:rsidR="00EA1590" w:rsidRPr="00EA1590">
              <w:rPr>
                <w:rFonts w:cs="Arial"/>
              </w:rPr>
              <w:t>3</w:t>
            </w:r>
            <w:r w:rsidRPr="00EA1590">
              <w:rPr>
                <w:rFonts w:cs="Arial"/>
              </w:rPr>
              <w:t>/121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C32B5" w14:textId="77777777" w:rsidR="00371468" w:rsidRPr="00EA1590" w:rsidRDefault="00EA1590" w:rsidP="007D30CF">
            <w:pPr>
              <w:spacing w:after="120"/>
              <w:rPr>
                <w:rFonts w:cs="Arial"/>
              </w:rPr>
            </w:pPr>
            <w:r w:rsidRPr="00EA1590">
              <w:rPr>
                <w:rFonts w:cs="Arial"/>
              </w:rPr>
              <w:t xml:space="preserve">Inspekce sociálních služeb a pověřených osob - </w:t>
            </w:r>
            <w:r w:rsidRPr="00EA1590">
              <w:rPr>
                <w:rFonts w:cs="Arial"/>
                <w:b/>
                <w:bCs/>
                <w:i/>
                <w:iCs/>
              </w:rPr>
              <w:t>z personálních důvodů přesunut na rok 2024</w:t>
            </w:r>
            <w:r w:rsidRPr="00EA1590">
              <w:rPr>
                <w:rFonts w:cs="Arial"/>
              </w:rPr>
              <w:t>.</w:t>
            </w:r>
          </w:p>
        </w:tc>
      </w:tr>
    </w:tbl>
    <w:p w14:paraId="5E7EBDC9" w14:textId="77777777" w:rsidR="005749B1" w:rsidRPr="0084750F" w:rsidRDefault="005749B1" w:rsidP="00371468">
      <w:pPr>
        <w:pStyle w:val="Zkladntextodsazen3"/>
        <w:ind w:firstLine="0"/>
      </w:pPr>
    </w:p>
    <w:p w14:paraId="3F439FE9" w14:textId="77777777" w:rsidR="00371468" w:rsidRPr="0084750F" w:rsidRDefault="00371468" w:rsidP="00371468">
      <w:pPr>
        <w:pStyle w:val="Zkladntextodsazen3"/>
        <w:ind w:firstLine="0"/>
      </w:pPr>
      <w:r w:rsidRPr="0084750F">
        <w:t xml:space="preserve">Ze </w:t>
      </w:r>
      <w:r w:rsidR="00EA1590">
        <w:rPr>
          <w:b/>
        </w:rPr>
        <w:t>4</w:t>
      </w:r>
      <w:r w:rsidRPr="0084750F">
        <w:t xml:space="preserve"> </w:t>
      </w:r>
      <w:r w:rsidRPr="0084750F">
        <w:rPr>
          <w:b/>
        </w:rPr>
        <w:t xml:space="preserve">auditů operace </w:t>
      </w:r>
      <w:r w:rsidRPr="0084750F">
        <w:t>zařazených do Plánu interních auditů MPSV na rok 202</w:t>
      </w:r>
      <w:r w:rsidR="0024788C">
        <w:t>3</w:t>
      </w:r>
    </w:p>
    <w:p w14:paraId="205A89F5" w14:textId="77777777" w:rsidR="00371468" w:rsidRPr="0084750F" w:rsidRDefault="00371468" w:rsidP="00371468">
      <w:pPr>
        <w:pStyle w:val="Zkladntextodsazen3"/>
        <w:ind w:firstLine="0"/>
      </w:pPr>
    </w:p>
    <w:p w14:paraId="4C6B4D73" w14:textId="77777777" w:rsidR="00371468" w:rsidRPr="00EA00BA" w:rsidRDefault="00371468" w:rsidP="00371468">
      <w:pPr>
        <w:pStyle w:val="Zkladntextodsazen3"/>
        <w:numPr>
          <w:ilvl w:val="0"/>
          <w:numId w:val="5"/>
        </w:numPr>
        <w:ind w:left="357" w:hanging="357"/>
      </w:pPr>
      <w:r w:rsidRPr="00EA00BA">
        <w:t>byl</w:t>
      </w:r>
      <w:r w:rsidR="00EA00BA" w:rsidRPr="00EA00BA">
        <w:t>y</w:t>
      </w:r>
      <w:r w:rsidRPr="00EA00BA">
        <w:t xml:space="preserve"> </w:t>
      </w:r>
      <w:r w:rsidR="00EA00BA" w:rsidRPr="00EA00BA">
        <w:t>všechny 4</w:t>
      </w:r>
      <w:r w:rsidRPr="00EA00BA">
        <w:t xml:space="preserve"> audit</w:t>
      </w:r>
      <w:r w:rsidR="00EA00BA" w:rsidRPr="00EA00BA">
        <w:t xml:space="preserve">y </w:t>
      </w:r>
      <w:r w:rsidRPr="00EA00BA">
        <w:t>operace ukončen</w:t>
      </w:r>
      <w:r w:rsidR="00EA00BA" w:rsidRPr="00EA00BA">
        <w:t>y</w:t>
      </w:r>
      <w:r w:rsidRPr="00EA00BA">
        <w:t>, a to:</w:t>
      </w:r>
    </w:p>
    <w:p w14:paraId="4B871FA0" w14:textId="77777777" w:rsidR="00371468" w:rsidRPr="00EA00BA" w:rsidRDefault="00371468" w:rsidP="00371468">
      <w:pPr>
        <w:pStyle w:val="Zkladntextodsazen3"/>
        <w:spacing w:after="120"/>
        <w:ind w:left="357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771"/>
      </w:tblGrid>
      <w:tr w:rsidR="00371468" w:rsidRPr="00EA00BA" w14:paraId="342112B7" w14:textId="77777777" w:rsidTr="007D30CF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517B7" w14:textId="77777777" w:rsidR="00371468" w:rsidRPr="00EA00BA" w:rsidRDefault="00371468" w:rsidP="007D30CF">
            <w:pPr>
              <w:spacing w:after="120"/>
              <w:jc w:val="left"/>
              <w:rPr>
                <w:rFonts w:cs="Arial"/>
              </w:rPr>
            </w:pPr>
            <w:r w:rsidRPr="00EA00BA">
              <w:rPr>
                <w:rFonts w:cs="Arial"/>
              </w:rPr>
              <w:t xml:space="preserve">audit č. </w:t>
            </w:r>
            <w:r w:rsidR="00EA1590" w:rsidRPr="00EA00BA">
              <w:rPr>
                <w:rFonts w:cs="Arial"/>
              </w:rPr>
              <w:t>5</w:t>
            </w:r>
            <w:r w:rsidRPr="00EA00BA">
              <w:rPr>
                <w:rFonts w:cs="Arial"/>
              </w:rPr>
              <w:t>/202</w:t>
            </w:r>
            <w:r w:rsidR="00EA1590" w:rsidRPr="00EA00BA">
              <w:rPr>
                <w:rFonts w:cs="Arial"/>
              </w:rPr>
              <w:t>3</w:t>
            </w:r>
            <w:r w:rsidRPr="00EA00BA">
              <w:rPr>
                <w:rFonts w:cs="Arial"/>
              </w:rPr>
              <w:t>/12</w:t>
            </w:r>
            <w:r w:rsidR="00EA1590" w:rsidRPr="00EA00BA">
              <w:rPr>
                <w:rFonts w:cs="Arial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B921D" w14:textId="77777777" w:rsidR="00371468" w:rsidRPr="00EA00BA" w:rsidRDefault="00EA1590" w:rsidP="007D30CF">
            <w:pPr>
              <w:spacing w:after="120"/>
              <w:rPr>
                <w:rFonts w:cs="Arial"/>
              </w:rPr>
            </w:pPr>
            <w:r w:rsidRPr="00EA00BA">
              <w:rPr>
                <w:rFonts w:cs="Arial"/>
              </w:rPr>
              <w:t>Vnitřní řídicí a kontrolní systém - Smlouvy</w:t>
            </w:r>
            <w:r w:rsidR="00371468" w:rsidRPr="00EA00BA">
              <w:rPr>
                <w:rFonts w:cs="Arial"/>
              </w:rPr>
              <w:t>,</w:t>
            </w:r>
          </w:p>
        </w:tc>
      </w:tr>
      <w:tr w:rsidR="00371468" w:rsidRPr="0024788C" w14:paraId="6B6038CF" w14:textId="77777777" w:rsidTr="007D30CF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7C873" w14:textId="77777777" w:rsidR="00371468" w:rsidRPr="00EA1590" w:rsidRDefault="00371468" w:rsidP="007D30CF">
            <w:pPr>
              <w:spacing w:after="120"/>
              <w:jc w:val="left"/>
              <w:rPr>
                <w:rFonts w:cs="Arial"/>
              </w:rPr>
            </w:pPr>
            <w:r w:rsidRPr="00EA1590">
              <w:rPr>
                <w:rFonts w:cs="Arial"/>
              </w:rPr>
              <w:t xml:space="preserve">audit č. </w:t>
            </w:r>
            <w:r w:rsidR="00EA1590" w:rsidRPr="00EA1590">
              <w:rPr>
                <w:rFonts w:cs="Arial"/>
              </w:rPr>
              <w:t>7</w:t>
            </w:r>
            <w:r w:rsidRPr="00EA1590">
              <w:rPr>
                <w:rFonts w:cs="Arial"/>
              </w:rPr>
              <w:t>/202</w:t>
            </w:r>
            <w:r w:rsidR="00EA1590" w:rsidRPr="00EA1590">
              <w:rPr>
                <w:rFonts w:cs="Arial"/>
              </w:rPr>
              <w:t>3</w:t>
            </w:r>
            <w:r w:rsidRPr="00EA1590">
              <w:rPr>
                <w:rFonts w:cs="Arial"/>
              </w:rPr>
              <w:t>/12</w:t>
            </w:r>
            <w:r w:rsidR="00EA1590" w:rsidRPr="00EA1590">
              <w:rPr>
                <w:rFonts w:cs="Arial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1D90A" w14:textId="77777777" w:rsidR="00371468" w:rsidRPr="00EA1590" w:rsidRDefault="00EA1590" w:rsidP="007D30CF">
            <w:pPr>
              <w:spacing w:after="120"/>
              <w:rPr>
                <w:rFonts w:cs="Arial"/>
              </w:rPr>
            </w:pPr>
            <w:r w:rsidRPr="00EA1590">
              <w:rPr>
                <w:rFonts w:cs="Arial"/>
              </w:rPr>
              <w:t>Aplikace § 117d zákona o sociálních službách</w:t>
            </w:r>
            <w:r w:rsidR="0084750F" w:rsidRPr="00EA1590">
              <w:rPr>
                <w:rFonts w:cs="Arial"/>
              </w:rPr>
              <w:t>,</w:t>
            </w:r>
          </w:p>
        </w:tc>
      </w:tr>
      <w:tr w:rsidR="00371468" w:rsidRPr="0024788C" w14:paraId="543AE7F2" w14:textId="77777777" w:rsidTr="007D30CF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057C8" w14:textId="77777777" w:rsidR="00371468" w:rsidRPr="00EA1590" w:rsidRDefault="00371468" w:rsidP="007D30CF">
            <w:pPr>
              <w:spacing w:after="120"/>
              <w:jc w:val="left"/>
              <w:rPr>
                <w:rFonts w:cs="Arial"/>
              </w:rPr>
            </w:pPr>
            <w:r w:rsidRPr="00EA1590">
              <w:rPr>
                <w:rFonts w:cs="Arial"/>
              </w:rPr>
              <w:t xml:space="preserve">audit č. </w:t>
            </w:r>
            <w:r w:rsidR="00EA1590" w:rsidRPr="00EA1590">
              <w:rPr>
                <w:rFonts w:cs="Arial"/>
              </w:rPr>
              <w:t>9</w:t>
            </w:r>
            <w:r w:rsidRPr="00EA1590">
              <w:rPr>
                <w:rFonts w:cs="Arial"/>
              </w:rPr>
              <w:t>/202</w:t>
            </w:r>
            <w:r w:rsidR="00EA1590" w:rsidRPr="00EA1590">
              <w:rPr>
                <w:rFonts w:cs="Arial"/>
              </w:rPr>
              <w:t>3</w:t>
            </w:r>
            <w:r w:rsidRPr="00EA1590">
              <w:rPr>
                <w:rFonts w:cs="Arial"/>
              </w:rPr>
              <w:t>/12</w:t>
            </w:r>
            <w:r w:rsidR="00EA1590" w:rsidRPr="00EA1590">
              <w:rPr>
                <w:rFonts w:cs="Arial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473CB" w14:textId="77777777" w:rsidR="00371468" w:rsidRPr="00EA1590" w:rsidRDefault="00EA1590" w:rsidP="007D30CF">
            <w:pPr>
              <w:spacing w:after="120"/>
              <w:rPr>
                <w:rFonts w:cs="Arial"/>
              </w:rPr>
            </w:pPr>
            <w:r w:rsidRPr="00EA1590">
              <w:rPr>
                <w:rFonts w:cs="Arial"/>
              </w:rPr>
              <w:t>Vnitřní řídicí a kontrolní systém - Přímé objednávky na MPSV</w:t>
            </w:r>
            <w:r w:rsidR="0084750F" w:rsidRPr="00EA1590">
              <w:rPr>
                <w:rFonts w:cs="Arial"/>
              </w:rPr>
              <w:t>,</w:t>
            </w:r>
          </w:p>
        </w:tc>
      </w:tr>
      <w:tr w:rsidR="00371468" w:rsidRPr="0024788C" w14:paraId="38067761" w14:textId="77777777" w:rsidTr="007D30CF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10767" w14:textId="77777777" w:rsidR="00371468" w:rsidRPr="00EA1590" w:rsidRDefault="00371468" w:rsidP="007D30CF">
            <w:pPr>
              <w:spacing w:after="120"/>
              <w:jc w:val="left"/>
              <w:rPr>
                <w:rFonts w:cs="Arial"/>
              </w:rPr>
            </w:pPr>
            <w:r w:rsidRPr="00EA1590">
              <w:rPr>
                <w:rFonts w:cs="Arial"/>
              </w:rPr>
              <w:t xml:space="preserve">audit č. </w:t>
            </w:r>
            <w:r w:rsidR="00EA1590" w:rsidRPr="00EA1590">
              <w:rPr>
                <w:rFonts w:cs="Arial"/>
              </w:rPr>
              <w:t>11</w:t>
            </w:r>
            <w:r w:rsidRPr="00EA1590">
              <w:rPr>
                <w:rFonts w:cs="Arial"/>
              </w:rPr>
              <w:t>/202</w:t>
            </w:r>
            <w:r w:rsidR="00EA1590" w:rsidRPr="00EA1590">
              <w:rPr>
                <w:rFonts w:cs="Arial"/>
              </w:rPr>
              <w:t>3</w:t>
            </w:r>
            <w:r w:rsidRPr="00EA1590">
              <w:rPr>
                <w:rFonts w:cs="Arial"/>
              </w:rPr>
              <w:t>/12</w:t>
            </w:r>
            <w:r w:rsidR="00EA1590" w:rsidRPr="00EA1590">
              <w:rPr>
                <w:rFonts w:cs="Arial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5E81D" w14:textId="77777777" w:rsidR="00371468" w:rsidRPr="00EA1590" w:rsidRDefault="00EA1590" w:rsidP="007D30CF">
            <w:pPr>
              <w:spacing w:after="120"/>
              <w:rPr>
                <w:rFonts w:cs="Arial"/>
                <w:i/>
                <w:iCs/>
              </w:rPr>
            </w:pPr>
            <w:r w:rsidRPr="00EA1590">
              <w:rPr>
                <w:rFonts w:cs="Arial"/>
              </w:rPr>
              <w:t>Stížnosti a petice I.</w:t>
            </w:r>
          </w:p>
        </w:tc>
      </w:tr>
    </w:tbl>
    <w:p w14:paraId="6B1E8BB8" w14:textId="77777777" w:rsidR="00E9037F" w:rsidRPr="004D4E43" w:rsidRDefault="00E9037F" w:rsidP="00247522">
      <w:pPr>
        <w:ind w:left="567" w:hanging="567"/>
        <w:rPr>
          <w:rFonts w:cs="Arial"/>
          <w:sz w:val="32"/>
          <w:szCs w:val="32"/>
          <w:highlight w:val="yellow"/>
        </w:rPr>
      </w:pPr>
    </w:p>
    <w:p w14:paraId="0DE2F6A0" w14:textId="77777777" w:rsidR="00EA052C" w:rsidRPr="00703539" w:rsidRDefault="00EA052C" w:rsidP="00703539">
      <w:pPr>
        <w:pStyle w:val="Nadpis1"/>
      </w:pPr>
      <w:bookmarkStart w:id="4" w:name="_Toc160019377"/>
      <w:r w:rsidRPr="00703539">
        <w:t>VYHODNOCENÍ PODLE § 31 ZÁKONA O FINANČNÍ KONTROLE</w:t>
      </w:r>
      <w:bookmarkEnd w:id="4"/>
    </w:p>
    <w:p w14:paraId="571C1770" w14:textId="77777777" w:rsidR="00EA052C" w:rsidRPr="00266F52" w:rsidRDefault="00EA052C" w:rsidP="00EA052C">
      <w:pPr>
        <w:ind w:left="709" w:hanging="709"/>
        <w:rPr>
          <w:rFonts w:cs="Arial"/>
          <w:sz w:val="32"/>
          <w:szCs w:val="32"/>
        </w:rPr>
      </w:pPr>
    </w:p>
    <w:p w14:paraId="6BBC102E" w14:textId="77777777" w:rsidR="00EA052C" w:rsidRPr="00266F52" w:rsidRDefault="00EA052C" w:rsidP="00A82C8B">
      <w:pPr>
        <w:pStyle w:val="Nadpis2"/>
        <w:numPr>
          <w:ilvl w:val="0"/>
          <w:numId w:val="0"/>
        </w:numPr>
        <w:ind w:left="576" w:hanging="576"/>
      </w:pPr>
      <w:bookmarkStart w:id="5" w:name="_Toc160019378"/>
      <w:r w:rsidRPr="00266F52">
        <w:t>4.1.</w:t>
      </w:r>
      <w:r w:rsidRPr="00266F52">
        <w:tab/>
      </w:r>
      <w:bookmarkStart w:id="6" w:name="_Toc192390552"/>
      <w:bookmarkStart w:id="7" w:name="_Toc254774746"/>
      <w:r w:rsidRPr="00266F52">
        <w:t>Vyhodnocení podle § 31 odst. 3 písm. a) zákona</w:t>
      </w:r>
      <w:bookmarkEnd w:id="6"/>
      <w:bookmarkEnd w:id="7"/>
      <w:r w:rsidRPr="00266F52">
        <w:t xml:space="preserve"> o finanční kontrole</w:t>
      </w:r>
      <w:bookmarkEnd w:id="5"/>
    </w:p>
    <w:p w14:paraId="28C5B584" w14:textId="77777777" w:rsidR="00EA052C" w:rsidRPr="00266F52" w:rsidRDefault="00EA052C" w:rsidP="00EA052C">
      <w:pPr>
        <w:rPr>
          <w:rFonts w:cs="Arial"/>
          <w:sz w:val="32"/>
          <w:szCs w:val="32"/>
        </w:rPr>
      </w:pPr>
    </w:p>
    <w:p w14:paraId="43D145B8" w14:textId="080051CF" w:rsidR="00EA052C" w:rsidRPr="00266F52" w:rsidRDefault="00EA052C" w:rsidP="00EA052C">
      <w:pPr>
        <w:rPr>
          <w:lang w:eastAsia="x-none"/>
        </w:rPr>
      </w:pPr>
      <w:r w:rsidRPr="00266F52">
        <w:rPr>
          <w:lang w:eastAsia="x-none"/>
        </w:rPr>
        <w:t>V kapitole 4.1. odbor 12 uvádí své poznatky k hodnocení obecné kvality vnitřního kontrolního systému MPSV na základě metodiky přijaté na MPSV, tj. PM č. 19/2022</w:t>
      </w:r>
      <w:r w:rsidR="00E241AC">
        <w:rPr>
          <w:lang w:eastAsia="x-none"/>
        </w:rPr>
        <w:t xml:space="preserve">, </w:t>
      </w:r>
      <w:r w:rsidR="00E241AC" w:rsidRPr="00E241AC">
        <w:rPr>
          <w:lang w:eastAsia="x-none"/>
        </w:rPr>
        <w:t>Zásady řídící kontroly v podmínkách MPSV.</w:t>
      </w:r>
      <w:r w:rsidRPr="00266F52">
        <w:rPr>
          <w:lang w:eastAsia="x-none"/>
        </w:rPr>
        <w:t xml:space="preserve"> Dále vycházel z provedených auditů </w:t>
      </w:r>
      <w:r w:rsidR="00E241AC">
        <w:rPr>
          <w:lang w:eastAsia="x-none"/>
        </w:rPr>
        <w:br/>
      </w:r>
      <w:r w:rsidRPr="00266F52">
        <w:rPr>
          <w:lang w:eastAsia="x-none"/>
        </w:rPr>
        <w:t>a dotazníkového průzkumu realizovaného v lednu 202</w:t>
      </w:r>
      <w:r w:rsidRPr="009139F3">
        <w:rPr>
          <w:lang w:eastAsia="x-none"/>
        </w:rPr>
        <w:t>4</w:t>
      </w:r>
      <w:r w:rsidRPr="00266F52">
        <w:rPr>
          <w:lang w:eastAsia="x-none"/>
        </w:rPr>
        <w:t>.</w:t>
      </w:r>
    </w:p>
    <w:p w14:paraId="4E6C8999" w14:textId="77777777" w:rsidR="00EA052C" w:rsidRPr="00266F52" w:rsidRDefault="00EA052C" w:rsidP="00EA052C">
      <w:pPr>
        <w:rPr>
          <w:bCs/>
          <w:color w:val="FF0000"/>
          <w:lang w:eastAsia="x-none"/>
        </w:rPr>
      </w:pPr>
    </w:p>
    <w:p w14:paraId="34E77FAF" w14:textId="77777777" w:rsidR="00EA052C" w:rsidRPr="00266F52" w:rsidRDefault="00EA052C" w:rsidP="00A82C8B">
      <w:pPr>
        <w:pStyle w:val="Nadpis3"/>
        <w:rPr>
          <w:caps/>
        </w:rPr>
      </w:pPr>
      <w:bookmarkStart w:id="8" w:name="_Toc160019379"/>
      <w:r w:rsidRPr="00266F52">
        <w:t>4.1.1. Úvod</w:t>
      </w:r>
      <w:bookmarkEnd w:id="8"/>
    </w:p>
    <w:p w14:paraId="301A32E5" w14:textId="77777777" w:rsidR="00EA052C" w:rsidRPr="00266F52" w:rsidRDefault="00EA052C" w:rsidP="00EA052C">
      <w:pPr>
        <w:rPr>
          <w:bCs/>
          <w:color w:val="FF0000"/>
          <w:lang w:eastAsia="x-none"/>
        </w:rPr>
      </w:pPr>
    </w:p>
    <w:p w14:paraId="781F3841" w14:textId="77777777" w:rsidR="00EA052C" w:rsidRPr="00266F52" w:rsidRDefault="00EA052C" w:rsidP="00EA052C">
      <w:pPr>
        <w:rPr>
          <w:lang w:eastAsia="x-none"/>
        </w:rPr>
      </w:pPr>
      <w:r w:rsidRPr="00266F52">
        <w:rPr>
          <w:b/>
          <w:bCs/>
          <w:lang w:val="x-none" w:eastAsia="x-none"/>
        </w:rPr>
        <w:t xml:space="preserve">Vnitřní kontrolní systém </w:t>
      </w:r>
      <w:r w:rsidRPr="00266F52">
        <w:rPr>
          <w:bCs/>
          <w:lang w:val="x-none" w:eastAsia="x-none"/>
        </w:rPr>
        <w:t xml:space="preserve">je </w:t>
      </w:r>
      <w:r w:rsidRPr="00266F52">
        <w:rPr>
          <w:bCs/>
          <w:lang w:eastAsia="x-none"/>
        </w:rPr>
        <w:t>součástí finančního řízení</w:t>
      </w:r>
      <w:r w:rsidRPr="00266F52">
        <w:rPr>
          <w:bCs/>
          <w:lang w:val="x-none" w:eastAsia="x-none"/>
        </w:rPr>
        <w:t xml:space="preserve"> </w:t>
      </w:r>
      <w:r w:rsidRPr="00266F52">
        <w:rPr>
          <w:bCs/>
          <w:lang w:eastAsia="x-none"/>
        </w:rPr>
        <w:t>organizace zabezpečujícího hospodaření s veřejnými prostředky, tzn.</w:t>
      </w:r>
      <w:r w:rsidRPr="00266F52">
        <w:rPr>
          <w:bCs/>
          <w:lang w:val="x-none" w:eastAsia="x-none"/>
        </w:rPr>
        <w:t xml:space="preserve"> cílem vnitřního kontrolního systému je zajistit, aby v rámci plnění úkolů veřejné správy bylo s veřejnými prostředky nakládáno </w:t>
      </w:r>
      <w:r w:rsidRPr="00266F52">
        <w:rPr>
          <w:bCs/>
          <w:lang w:val="x-none" w:eastAsia="x-none"/>
        </w:rPr>
        <w:br w:type="textWrapping" w:clear="all"/>
        <w:t xml:space="preserve">v souladu s principy </w:t>
      </w:r>
      <w:r w:rsidRPr="00266F52">
        <w:rPr>
          <w:bCs/>
          <w:lang w:eastAsia="x-none"/>
        </w:rPr>
        <w:t>hospodárnosti, efektivnosti a účelnosti</w:t>
      </w:r>
      <w:r w:rsidRPr="00266F52">
        <w:rPr>
          <w:bCs/>
          <w:lang w:val="x-none" w:eastAsia="x-none"/>
        </w:rPr>
        <w:t xml:space="preserve">. </w:t>
      </w:r>
      <w:r w:rsidRPr="00266F52">
        <w:rPr>
          <w:b/>
          <w:bCs/>
          <w:lang w:val="x-none" w:eastAsia="x-none"/>
        </w:rPr>
        <w:t>Řídící kontrola</w:t>
      </w:r>
      <w:r w:rsidRPr="00266F52">
        <w:rPr>
          <w:lang w:val="x-none" w:eastAsia="x-none"/>
        </w:rPr>
        <w:t xml:space="preserve"> je součástí vnitřního </w:t>
      </w:r>
      <w:r w:rsidRPr="00266F52">
        <w:rPr>
          <w:lang w:eastAsia="x-none"/>
        </w:rPr>
        <w:t xml:space="preserve">kontrolního systému. </w:t>
      </w:r>
      <w:r w:rsidRPr="00266F52">
        <w:rPr>
          <w:bCs/>
          <w:lang w:val="x-none" w:eastAsia="x-none"/>
        </w:rPr>
        <w:t>Řídící kontrola v podmínkách MPSV</w:t>
      </w:r>
      <w:r w:rsidRPr="00266F52">
        <w:rPr>
          <w:lang w:val="x-none" w:eastAsia="x-none"/>
        </w:rPr>
        <w:t xml:space="preserve"> byla pro rok 20</w:t>
      </w:r>
      <w:r w:rsidRPr="00266F52">
        <w:rPr>
          <w:lang w:eastAsia="x-none"/>
        </w:rPr>
        <w:t>2</w:t>
      </w:r>
      <w:r w:rsidRPr="00BE5065">
        <w:rPr>
          <w:lang w:eastAsia="x-none"/>
        </w:rPr>
        <w:t>3</w:t>
      </w:r>
      <w:r>
        <w:rPr>
          <w:lang w:eastAsia="x-none"/>
        </w:rPr>
        <w:t xml:space="preserve"> upravena</w:t>
      </w:r>
      <w:r w:rsidRPr="00BE5065">
        <w:rPr>
          <w:lang w:eastAsia="x-none"/>
        </w:rPr>
        <w:t xml:space="preserve"> </w:t>
      </w:r>
      <w:r w:rsidRPr="00266F52">
        <w:rPr>
          <w:lang w:eastAsia="x-none"/>
        </w:rPr>
        <w:t>PM č. 19/2022</w:t>
      </w:r>
      <w:r w:rsidRPr="00266F52">
        <w:rPr>
          <w:lang w:val="x-none" w:eastAsia="x-none"/>
        </w:rPr>
        <w:t>.</w:t>
      </w:r>
    </w:p>
    <w:p w14:paraId="60BE173D" w14:textId="77777777" w:rsidR="00EA052C" w:rsidRPr="00266F52" w:rsidRDefault="00EA052C" w:rsidP="00EA052C">
      <w:pPr>
        <w:rPr>
          <w:color w:val="FF0000"/>
          <w:lang w:eastAsia="x-none"/>
        </w:rPr>
      </w:pPr>
    </w:p>
    <w:p w14:paraId="778E624A" w14:textId="77777777" w:rsidR="00EA052C" w:rsidRPr="00C6064D" w:rsidRDefault="00EA052C" w:rsidP="00EA052C">
      <w:pPr>
        <w:rPr>
          <w:lang w:val="x-none" w:eastAsia="x-none"/>
        </w:rPr>
      </w:pPr>
      <w:r w:rsidRPr="00C6064D">
        <w:rPr>
          <w:b/>
          <w:bCs/>
          <w:lang w:val="x-none" w:eastAsia="x-none"/>
        </w:rPr>
        <w:t>Funkci příkazců operace</w:t>
      </w:r>
      <w:r w:rsidRPr="00C6064D">
        <w:rPr>
          <w:lang w:val="x-none" w:eastAsia="x-none"/>
        </w:rPr>
        <w:t xml:space="preserve"> ve vztahu k rozpočtu MPSV </w:t>
      </w:r>
      <w:r w:rsidRPr="00C6064D">
        <w:rPr>
          <w:lang w:eastAsia="x-none"/>
        </w:rPr>
        <w:t xml:space="preserve">v roce 2023 </w:t>
      </w:r>
      <w:r w:rsidRPr="00C6064D">
        <w:rPr>
          <w:lang w:val="x-none" w:eastAsia="x-none"/>
        </w:rPr>
        <w:t>obecně plnil ministr</w:t>
      </w:r>
      <w:r w:rsidRPr="00C6064D">
        <w:rPr>
          <w:vertAlign w:val="superscript"/>
          <w:lang w:eastAsia="x-none"/>
        </w:rPr>
        <w:footnoteReference w:id="2"/>
      </w:r>
      <w:r w:rsidRPr="00C6064D">
        <w:rPr>
          <w:lang w:eastAsia="x-none"/>
        </w:rPr>
        <w:t xml:space="preserve"> </w:t>
      </w:r>
      <w:r w:rsidR="00EA1590">
        <w:rPr>
          <w:lang w:eastAsia="x-none"/>
        </w:rPr>
        <w:br/>
      </w:r>
      <w:r w:rsidRPr="00C6064D">
        <w:rPr>
          <w:lang w:val="x-none" w:eastAsia="x-none"/>
        </w:rPr>
        <w:t>a jí</w:t>
      </w:r>
      <w:r w:rsidRPr="00C6064D">
        <w:rPr>
          <w:lang w:eastAsia="x-none"/>
        </w:rPr>
        <w:t>m</w:t>
      </w:r>
      <w:r w:rsidRPr="00C6064D">
        <w:rPr>
          <w:lang w:val="x-none" w:eastAsia="x-none"/>
        </w:rPr>
        <w:t xml:space="preserve"> pověření zaměstnanci, tj. </w:t>
      </w:r>
      <w:r w:rsidRPr="00C6064D">
        <w:rPr>
          <w:lang w:eastAsia="x-none"/>
        </w:rPr>
        <w:t xml:space="preserve">vrchní ředitelé </w:t>
      </w:r>
      <w:r w:rsidRPr="00C6064D">
        <w:rPr>
          <w:lang w:val="x-none" w:eastAsia="x-none"/>
        </w:rPr>
        <w:t>pro řízení sekc</w:t>
      </w:r>
      <w:r w:rsidRPr="00C6064D">
        <w:rPr>
          <w:lang w:eastAsia="x-none"/>
        </w:rPr>
        <w:t>e, státní tajemník,</w:t>
      </w:r>
      <w:r w:rsidRPr="00C6064D">
        <w:rPr>
          <w:lang w:val="x-none" w:eastAsia="x-none"/>
        </w:rPr>
        <w:t xml:space="preserve"> ředitelé odborů</w:t>
      </w:r>
      <w:r w:rsidRPr="00C6064D">
        <w:rPr>
          <w:lang w:eastAsia="x-none"/>
        </w:rPr>
        <w:t xml:space="preserve"> a určení vedoucí oddělení</w:t>
      </w:r>
      <w:r w:rsidRPr="00C6064D">
        <w:rPr>
          <w:lang w:val="x-none" w:eastAsia="x-none"/>
        </w:rPr>
        <w:t>.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Pro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vymezení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odpovědnosti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a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pravomoci</w:t>
      </w:r>
      <w:r w:rsidRPr="00C6064D">
        <w:rPr>
          <w:lang w:eastAsia="x-none"/>
        </w:rPr>
        <w:t xml:space="preserve"> </w:t>
      </w:r>
      <w:r w:rsidRPr="00C6064D">
        <w:rPr>
          <w:lang w:eastAsia="x-none"/>
        </w:rPr>
        <w:br w:type="textWrapping" w:clear="all"/>
      </w:r>
      <w:r w:rsidRPr="00C6064D">
        <w:rPr>
          <w:lang w:val="x-none" w:eastAsia="x-none"/>
        </w:rPr>
        <w:t>k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nakládání s rozpočtovými prostředky je rozhodující jejich druh a objem.</w:t>
      </w:r>
    </w:p>
    <w:p w14:paraId="2C5D96A3" w14:textId="77777777" w:rsidR="00EA052C" w:rsidRPr="00266F52" w:rsidRDefault="00EA052C" w:rsidP="00EA052C">
      <w:pPr>
        <w:rPr>
          <w:color w:val="FF0000"/>
          <w:lang w:val="x-none" w:eastAsia="x-none"/>
        </w:rPr>
      </w:pPr>
    </w:p>
    <w:p w14:paraId="1D68B878" w14:textId="77777777" w:rsidR="00EA052C" w:rsidRPr="00C6064D" w:rsidRDefault="00EA052C" w:rsidP="00EA052C">
      <w:pPr>
        <w:rPr>
          <w:lang w:eastAsia="x-none"/>
        </w:rPr>
      </w:pPr>
      <w:r w:rsidRPr="00C6064D">
        <w:rPr>
          <w:lang w:val="x-none" w:eastAsia="x-none"/>
        </w:rPr>
        <w:t>Oběh dokladů a schvalovací postupy říd</w:t>
      </w:r>
      <w:r w:rsidRPr="00C6064D">
        <w:rPr>
          <w:lang w:eastAsia="x-none"/>
        </w:rPr>
        <w:t>i</w:t>
      </w:r>
      <w:r>
        <w:rPr>
          <w:lang w:eastAsia="x-none"/>
        </w:rPr>
        <w:t>cí</w:t>
      </w:r>
      <w:r w:rsidRPr="00C6064D">
        <w:rPr>
          <w:lang w:val="x-none" w:eastAsia="x-none"/>
        </w:rPr>
        <w:t xml:space="preserve"> kontroly jsou prováděny příkazci operac</w:t>
      </w:r>
      <w:r w:rsidRPr="00C6064D">
        <w:rPr>
          <w:lang w:eastAsia="x-none"/>
        </w:rPr>
        <w:t>e</w:t>
      </w:r>
      <w:r w:rsidRPr="00C6064D">
        <w:rPr>
          <w:lang w:val="x-none" w:eastAsia="x-none"/>
        </w:rPr>
        <w:t>, správcem rozpočtu a hlavním účetním s využitím programového vybavení - ekonomického informačního systému SAP. Schvalování operací je prováděno připojením elektronického podpisu, včetně časové značky, podle zákona č. 2</w:t>
      </w:r>
      <w:r w:rsidRPr="00C6064D">
        <w:rPr>
          <w:lang w:eastAsia="x-none"/>
        </w:rPr>
        <w:t>9</w:t>
      </w:r>
      <w:r w:rsidRPr="00C6064D">
        <w:rPr>
          <w:lang w:val="x-none" w:eastAsia="x-none"/>
        </w:rPr>
        <w:t>7/20</w:t>
      </w:r>
      <w:r w:rsidRPr="00C6064D">
        <w:rPr>
          <w:lang w:eastAsia="x-none"/>
        </w:rPr>
        <w:t>16</w:t>
      </w:r>
      <w:r w:rsidRPr="00C6064D">
        <w:rPr>
          <w:lang w:val="x-none" w:eastAsia="x-none"/>
        </w:rPr>
        <w:t xml:space="preserve"> Sb., o</w:t>
      </w:r>
      <w:r w:rsidRPr="00C6064D">
        <w:rPr>
          <w:lang w:eastAsia="x-none"/>
        </w:rPr>
        <w:t xml:space="preserve"> službách vytvářejících důvěru pro </w:t>
      </w:r>
      <w:r w:rsidRPr="00C6064D">
        <w:rPr>
          <w:lang w:val="x-none" w:eastAsia="x-none"/>
        </w:rPr>
        <w:t xml:space="preserve">elektronické </w:t>
      </w:r>
      <w:r w:rsidRPr="00C6064D">
        <w:rPr>
          <w:lang w:eastAsia="x-none"/>
        </w:rPr>
        <w:t>transakce</w:t>
      </w:r>
      <w:r w:rsidRPr="00C6064D">
        <w:rPr>
          <w:vertAlign w:val="superscript"/>
          <w:lang w:eastAsia="x-none"/>
        </w:rPr>
        <w:footnoteReference w:id="3"/>
      </w:r>
      <w:r w:rsidRPr="00C6064D">
        <w:rPr>
          <w:lang w:val="x-none" w:eastAsia="x-none"/>
        </w:rPr>
        <w:t xml:space="preserve"> k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datovým zprávám (soubory PDF a jiné datové soubory, které je možné elektronicky podepsat). Vydávání elektronických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podpisů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říd</w:t>
      </w:r>
      <w:r w:rsidRPr="00C6064D">
        <w:rPr>
          <w:lang w:eastAsia="x-none"/>
        </w:rPr>
        <w:t xml:space="preserve">ila </w:t>
      </w:r>
      <w:r w:rsidR="00EA1590">
        <w:rPr>
          <w:lang w:eastAsia="x-none"/>
        </w:rPr>
        <w:br/>
      </w:r>
      <w:r w:rsidRPr="00C6064D">
        <w:rPr>
          <w:lang w:eastAsia="x-none"/>
        </w:rPr>
        <w:t>a zajišťovala v roce 2023</w:t>
      </w:r>
      <w:r w:rsidRPr="00C6064D">
        <w:rPr>
          <w:lang w:val="x-none" w:eastAsia="x-none"/>
        </w:rPr>
        <w:t xml:space="preserve"> sekce </w:t>
      </w:r>
      <w:r w:rsidRPr="00C6064D">
        <w:rPr>
          <w:lang w:eastAsia="x-none"/>
        </w:rPr>
        <w:t>ekonomická a provozní</w:t>
      </w:r>
      <w:r w:rsidRPr="00C6064D">
        <w:rPr>
          <w:lang w:val="x-none" w:eastAsia="x-none"/>
        </w:rPr>
        <w:t>. Veřejná část certifikátu používaného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pro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elektronické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podepisování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je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 xml:space="preserve">registrována v EKIS. Zde jsou definovány </w:t>
      </w:r>
      <w:r w:rsidRPr="00C6064D">
        <w:rPr>
          <w:lang w:val="x-none" w:eastAsia="x-none"/>
        </w:rPr>
        <w:lastRenderedPageBreak/>
        <w:t>role a uživatelská oprávnění pro osoby pověřené ministr</w:t>
      </w:r>
      <w:r w:rsidRPr="00C6064D">
        <w:rPr>
          <w:lang w:eastAsia="x-none"/>
        </w:rPr>
        <w:t>em</w:t>
      </w:r>
      <w:r w:rsidRPr="00C6064D">
        <w:rPr>
          <w:lang w:val="x-none" w:eastAsia="x-none"/>
        </w:rPr>
        <w:t xml:space="preserve"> výkonem funkce příkazce operace, správce rozpočtu a</w:t>
      </w:r>
      <w:r w:rsidRPr="00C6064D">
        <w:rPr>
          <w:lang w:eastAsia="x-none"/>
        </w:rPr>
        <w:t xml:space="preserve"> </w:t>
      </w:r>
      <w:r w:rsidRPr="00C6064D">
        <w:rPr>
          <w:lang w:val="x-none" w:eastAsia="x-none"/>
        </w:rPr>
        <w:t>hlavního účetního.</w:t>
      </w:r>
    </w:p>
    <w:p w14:paraId="5579917C" w14:textId="77777777" w:rsidR="00EA052C" w:rsidRPr="00266F52" w:rsidRDefault="00EA052C" w:rsidP="00EA052C">
      <w:pPr>
        <w:rPr>
          <w:color w:val="FF0000"/>
          <w:lang w:val="x-none" w:eastAsia="x-none"/>
        </w:rPr>
      </w:pPr>
    </w:p>
    <w:p w14:paraId="33CF1D3C" w14:textId="77777777" w:rsidR="00EA052C" w:rsidRPr="00C6064D" w:rsidRDefault="00EA052C" w:rsidP="00EA052C">
      <w:pPr>
        <w:rPr>
          <w:lang w:val="x-none" w:eastAsia="x-none"/>
        </w:rPr>
      </w:pPr>
      <w:r w:rsidRPr="00C6064D">
        <w:rPr>
          <w:b/>
          <w:lang w:val="x-none" w:eastAsia="x-none"/>
        </w:rPr>
        <w:t>Předběžná řídící kontrola</w:t>
      </w:r>
      <w:r w:rsidRPr="00C6064D">
        <w:rPr>
          <w:lang w:val="x-none" w:eastAsia="x-none"/>
        </w:rPr>
        <w:t xml:space="preserve"> je nejdůležitějším procesem</w:t>
      </w:r>
      <w:r w:rsidRPr="00C6064D">
        <w:rPr>
          <w:lang w:eastAsia="x-none"/>
        </w:rPr>
        <w:t xml:space="preserve"> v rámci říd</w:t>
      </w:r>
      <w:r>
        <w:rPr>
          <w:lang w:eastAsia="x-none"/>
        </w:rPr>
        <w:t>i</w:t>
      </w:r>
      <w:r w:rsidRPr="00C6064D">
        <w:rPr>
          <w:lang w:eastAsia="x-none"/>
        </w:rPr>
        <w:t>cí kontroly</w:t>
      </w:r>
      <w:r w:rsidRPr="00C6064D">
        <w:rPr>
          <w:lang w:val="x-none" w:eastAsia="x-none"/>
        </w:rPr>
        <w:t xml:space="preserve">, a proto </w:t>
      </w:r>
      <w:r w:rsidRPr="00C6064D">
        <w:rPr>
          <w:lang w:eastAsia="x-none"/>
        </w:rPr>
        <w:t>má být</w:t>
      </w:r>
      <w:r w:rsidRPr="00C6064D">
        <w:rPr>
          <w:lang w:val="x-none" w:eastAsia="x-none"/>
        </w:rPr>
        <w:t xml:space="preserve"> na n</w:t>
      </w:r>
      <w:r w:rsidRPr="00C6064D">
        <w:rPr>
          <w:lang w:eastAsia="x-none"/>
        </w:rPr>
        <w:t>i</w:t>
      </w:r>
      <w:r w:rsidRPr="00C6064D">
        <w:rPr>
          <w:lang w:val="x-none" w:eastAsia="x-none"/>
        </w:rPr>
        <w:t xml:space="preserve"> kladen nejvyšší důraz.</w:t>
      </w:r>
    </w:p>
    <w:p w14:paraId="2BA162CF" w14:textId="77777777" w:rsidR="00EA052C" w:rsidRPr="00266F52" w:rsidRDefault="00EA052C" w:rsidP="00EA052C">
      <w:pPr>
        <w:rPr>
          <w:color w:val="FF0000"/>
          <w:lang w:val="x-none" w:eastAsia="x-none"/>
        </w:rPr>
      </w:pPr>
    </w:p>
    <w:p w14:paraId="69587B22" w14:textId="77777777" w:rsidR="00EA052C" w:rsidRPr="00E8446B" w:rsidRDefault="00EA052C" w:rsidP="00EA052C">
      <w:pPr>
        <w:rPr>
          <w:lang w:eastAsia="x-none"/>
        </w:rPr>
      </w:pPr>
      <w:r w:rsidRPr="00E8446B">
        <w:rPr>
          <w:lang w:eastAsia="x-none"/>
        </w:rPr>
        <w:t>Analýza pro tuto zprávu byla vyhotovena z podkladů získaných od správce rozpočtu dne 29. ledna 2024.</w:t>
      </w:r>
    </w:p>
    <w:p w14:paraId="0278C2B0" w14:textId="77777777" w:rsidR="00EA052C" w:rsidRPr="00266F52" w:rsidRDefault="00EA052C" w:rsidP="00EA052C">
      <w:pPr>
        <w:rPr>
          <w:color w:val="FF0000"/>
          <w:lang w:val="x-none" w:eastAsia="x-none"/>
        </w:rPr>
      </w:pPr>
    </w:p>
    <w:p w14:paraId="6DD18CA9" w14:textId="77777777" w:rsidR="00EA052C" w:rsidRPr="00F424E5" w:rsidRDefault="00EA052C" w:rsidP="00EA052C">
      <w:pPr>
        <w:rPr>
          <w:lang w:eastAsia="x-none"/>
        </w:rPr>
      </w:pPr>
      <w:r w:rsidRPr="00E8446B">
        <w:rPr>
          <w:lang w:val="x-none" w:eastAsia="x-none"/>
        </w:rPr>
        <w:t>Za rok 20</w:t>
      </w:r>
      <w:r w:rsidRPr="00E8446B">
        <w:rPr>
          <w:lang w:eastAsia="x-none"/>
        </w:rPr>
        <w:t>23</w:t>
      </w:r>
      <w:r w:rsidRPr="00E8446B">
        <w:rPr>
          <w:lang w:val="x-none" w:eastAsia="x-none"/>
        </w:rPr>
        <w:t xml:space="preserve"> bylo v rámci předběžné </w:t>
      </w:r>
      <w:r w:rsidRPr="00E8446B">
        <w:rPr>
          <w:lang w:eastAsia="x-none"/>
        </w:rPr>
        <w:t>řídicí</w:t>
      </w:r>
      <w:r w:rsidRPr="00E8446B">
        <w:rPr>
          <w:lang w:val="x-none" w:eastAsia="x-none"/>
        </w:rPr>
        <w:t xml:space="preserve"> kontroly </w:t>
      </w:r>
      <w:r w:rsidRPr="00E8446B">
        <w:rPr>
          <w:lang w:eastAsia="x-none"/>
        </w:rPr>
        <w:t>evidováno</w:t>
      </w:r>
      <w:r w:rsidRPr="00E8446B">
        <w:rPr>
          <w:lang w:val="x-none" w:eastAsia="x-none"/>
        </w:rPr>
        <w:t xml:space="preserve"> </w:t>
      </w:r>
      <w:r w:rsidRPr="00D919EC">
        <w:rPr>
          <w:lang w:eastAsia="x-none"/>
        </w:rPr>
        <w:t xml:space="preserve">1213 </w:t>
      </w:r>
      <w:r w:rsidRPr="00F424E5">
        <w:rPr>
          <w:lang w:val="x-none" w:eastAsia="x-none"/>
        </w:rPr>
        <w:t>požadavků na rozpočtový výdaj.</w:t>
      </w:r>
      <w:r w:rsidRPr="00F424E5">
        <w:rPr>
          <w:lang w:eastAsia="x-none"/>
        </w:rPr>
        <w:t xml:space="preserve"> Finanční prostředky byly čerpány z 1142 </w:t>
      </w:r>
      <w:r w:rsidRPr="00D17FF3">
        <w:rPr>
          <w:lang w:eastAsia="x-none"/>
        </w:rPr>
        <w:t xml:space="preserve">PRV (viz tab.), </w:t>
      </w:r>
      <w:r w:rsidRPr="00513445">
        <w:rPr>
          <w:lang w:eastAsia="x-none"/>
        </w:rPr>
        <w:t xml:space="preserve">z nichž </w:t>
      </w:r>
      <w:r w:rsidRPr="00513445">
        <w:rPr>
          <w:lang w:val="x-none" w:eastAsia="x-none"/>
        </w:rPr>
        <w:t>bylo</w:t>
      </w:r>
      <w:r w:rsidRPr="00513445">
        <w:rPr>
          <w:lang w:eastAsia="x-none"/>
        </w:rPr>
        <w:t xml:space="preserve"> 974 </w:t>
      </w:r>
      <w:r w:rsidRPr="00513445">
        <w:rPr>
          <w:lang w:val="x-none" w:eastAsia="x-none"/>
        </w:rPr>
        <w:t>individuálních</w:t>
      </w:r>
      <w:r w:rsidRPr="00513445">
        <w:rPr>
          <w:lang w:eastAsia="x-none"/>
        </w:rPr>
        <w:t xml:space="preserve"> </w:t>
      </w:r>
      <w:r w:rsidRPr="00513445">
        <w:rPr>
          <w:lang w:val="x-none" w:eastAsia="x-none"/>
        </w:rPr>
        <w:t xml:space="preserve">a </w:t>
      </w:r>
      <w:r w:rsidRPr="00513445">
        <w:rPr>
          <w:lang w:eastAsia="x-none"/>
        </w:rPr>
        <w:t xml:space="preserve">239 </w:t>
      </w:r>
      <w:r w:rsidRPr="00513445">
        <w:rPr>
          <w:lang w:val="x-none" w:eastAsia="x-none"/>
        </w:rPr>
        <w:t>limitovaných</w:t>
      </w:r>
      <w:r w:rsidRPr="00513445">
        <w:rPr>
          <w:lang w:eastAsia="x-none"/>
        </w:rPr>
        <w:t xml:space="preserve">. </w:t>
      </w:r>
      <w:r w:rsidRPr="00F424E5">
        <w:rPr>
          <w:lang w:eastAsia="x-none"/>
        </w:rPr>
        <w:t xml:space="preserve">Ze sestavy poskytnuté správcem rozpočtu vyplývá, že ze zbývajících 71 PRV nebyly čerpány žádné finanční prostředky. Následně bylo z EKIS zjištěno, že dané PRV jsou bez finančního plnění, anebo byly příkazcem operace připraveny, ale ve </w:t>
      </w:r>
      <w:proofErr w:type="spellStart"/>
      <w:r w:rsidRPr="00F424E5">
        <w:rPr>
          <w:lang w:eastAsia="x-none"/>
        </w:rPr>
        <w:t>workflow</w:t>
      </w:r>
      <w:proofErr w:type="spellEnd"/>
      <w:r w:rsidRPr="00F424E5">
        <w:rPr>
          <w:lang w:eastAsia="x-none"/>
        </w:rPr>
        <w:t xml:space="preserve"> nebyly předány ke schválení, popřípadě byla sice částka schválena, ale následně byla ponížena na nulovou hodnotu. </w:t>
      </w:r>
    </w:p>
    <w:p w14:paraId="1B0E2E7A" w14:textId="77777777" w:rsidR="00EA052C" w:rsidRPr="00967925" w:rsidRDefault="00EA052C" w:rsidP="00EA052C">
      <w:pPr>
        <w:rPr>
          <w:lang w:eastAsia="x-none"/>
        </w:rPr>
      </w:pPr>
    </w:p>
    <w:p w14:paraId="0A19CB46" w14:textId="77777777" w:rsidR="00EA052C" w:rsidRPr="00967925" w:rsidRDefault="00EA052C" w:rsidP="00EA052C">
      <w:pPr>
        <w:ind w:left="709" w:hanging="709"/>
        <w:rPr>
          <w:sz w:val="20"/>
          <w:szCs w:val="20"/>
          <w:lang w:eastAsia="x-none"/>
        </w:rPr>
      </w:pPr>
      <w:r w:rsidRPr="00967925">
        <w:rPr>
          <w:sz w:val="20"/>
          <w:szCs w:val="20"/>
          <w:lang w:eastAsia="x-none"/>
        </w:rPr>
        <w:t>Tab.: Data</w:t>
      </w:r>
      <w:r w:rsidRPr="00967925">
        <w:rPr>
          <w:sz w:val="20"/>
          <w:szCs w:val="20"/>
          <w:lang w:val="x-none" w:eastAsia="x-none"/>
        </w:rPr>
        <w:t xml:space="preserve"> </w:t>
      </w:r>
      <w:r w:rsidRPr="00967925">
        <w:rPr>
          <w:sz w:val="20"/>
          <w:szCs w:val="20"/>
          <w:lang w:eastAsia="x-none"/>
        </w:rPr>
        <w:t>získaná</w:t>
      </w:r>
      <w:r w:rsidRPr="00967925">
        <w:rPr>
          <w:sz w:val="20"/>
          <w:szCs w:val="20"/>
          <w:lang w:val="x-none" w:eastAsia="x-none"/>
        </w:rPr>
        <w:t xml:space="preserve"> ze sestavy </w:t>
      </w:r>
      <w:r w:rsidRPr="00967925">
        <w:rPr>
          <w:sz w:val="20"/>
          <w:szCs w:val="20"/>
          <w:lang w:eastAsia="x-none"/>
        </w:rPr>
        <w:t>PRV2023.XLSX</w:t>
      </w:r>
      <w:r w:rsidRPr="00967925">
        <w:rPr>
          <w:sz w:val="20"/>
          <w:szCs w:val="20"/>
          <w:lang w:val="x-none" w:eastAsia="x-none"/>
        </w:rPr>
        <w:t xml:space="preserve"> (</w:t>
      </w:r>
      <w:r w:rsidRPr="00967925">
        <w:rPr>
          <w:sz w:val="20"/>
          <w:szCs w:val="20"/>
          <w:lang w:eastAsia="x-none"/>
        </w:rPr>
        <w:t xml:space="preserve">sestava </w:t>
      </w:r>
      <w:r w:rsidRPr="00967925">
        <w:rPr>
          <w:sz w:val="20"/>
          <w:szCs w:val="20"/>
          <w:lang w:val="x-none" w:eastAsia="x-none"/>
        </w:rPr>
        <w:t>zaslán</w:t>
      </w:r>
      <w:r w:rsidRPr="00967925">
        <w:rPr>
          <w:sz w:val="20"/>
          <w:szCs w:val="20"/>
          <w:lang w:eastAsia="x-none"/>
        </w:rPr>
        <w:t>a</w:t>
      </w:r>
      <w:r w:rsidRPr="00967925">
        <w:rPr>
          <w:sz w:val="20"/>
          <w:szCs w:val="20"/>
          <w:lang w:val="x-none" w:eastAsia="x-none"/>
        </w:rPr>
        <w:t xml:space="preserve"> odbor</w:t>
      </w:r>
      <w:r w:rsidRPr="00967925">
        <w:rPr>
          <w:sz w:val="20"/>
          <w:szCs w:val="20"/>
          <w:lang w:eastAsia="x-none"/>
        </w:rPr>
        <w:t>em</w:t>
      </w:r>
      <w:r w:rsidRPr="00967925">
        <w:rPr>
          <w:sz w:val="20"/>
          <w:szCs w:val="20"/>
          <w:lang w:val="x-none" w:eastAsia="x-none"/>
        </w:rPr>
        <w:t xml:space="preserve"> 62)</w:t>
      </w:r>
    </w:p>
    <w:p w14:paraId="1A9804D0" w14:textId="77777777" w:rsidR="00EA052C" w:rsidRPr="00266F52" w:rsidRDefault="00EA052C" w:rsidP="00EA052C">
      <w:pPr>
        <w:ind w:left="709" w:hanging="709"/>
        <w:rPr>
          <w:color w:val="FF0000"/>
          <w:lang w:eastAsia="x-non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722"/>
        <w:gridCol w:w="1842"/>
      </w:tblGrid>
      <w:tr w:rsidR="00EA052C" w:rsidRPr="008534E2" w14:paraId="42F593B4" w14:textId="77777777" w:rsidTr="005F5B24">
        <w:trPr>
          <w:gridAfter w:val="1"/>
          <w:wAfter w:w="1842" w:type="dxa"/>
          <w:trHeight w:val="510"/>
        </w:trPr>
        <w:tc>
          <w:tcPr>
            <w:tcW w:w="4395" w:type="dxa"/>
            <w:shd w:val="clear" w:color="auto" w:fill="auto"/>
            <w:vAlign w:val="center"/>
          </w:tcPr>
          <w:p w14:paraId="54FD64DF" w14:textId="77777777" w:rsidR="00EA052C" w:rsidRPr="00967925" w:rsidRDefault="00EA052C" w:rsidP="005F5B24">
            <w:pPr>
              <w:rPr>
                <w:lang w:val="x-none" w:eastAsia="x-none"/>
              </w:rPr>
            </w:pPr>
            <w:r w:rsidRPr="00967925">
              <w:rPr>
                <w:lang w:val="x-none" w:eastAsia="x-none"/>
              </w:rPr>
              <w:t>Schválená finanční částka PRV – původní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8139987" w14:textId="77777777" w:rsidR="00EA052C" w:rsidRPr="008534E2" w:rsidRDefault="00EA052C" w:rsidP="005F5B24">
            <w:pPr>
              <w:rPr>
                <w:lang w:val="x-none" w:eastAsia="x-none"/>
              </w:rPr>
            </w:pPr>
            <w:r w:rsidRPr="008534E2">
              <w:rPr>
                <w:rFonts w:cs="Arial"/>
                <w:lang w:eastAsia="x-none"/>
              </w:rPr>
              <w:t xml:space="preserve">       41 108 428 210 </w:t>
            </w:r>
            <w:r w:rsidRPr="008534E2">
              <w:rPr>
                <w:rFonts w:cs="Arial"/>
                <w:lang w:val="x-none" w:eastAsia="x-none"/>
              </w:rPr>
              <w:t>Kč</w:t>
            </w:r>
          </w:p>
        </w:tc>
      </w:tr>
      <w:tr w:rsidR="00EA052C" w:rsidRPr="00266F52" w14:paraId="5584E8FB" w14:textId="77777777" w:rsidTr="005F5B24">
        <w:trPr>
          <w:trHeight w:val="510"/>
        </w:trPr>
        <w:tc>
          <w:tcPr>
            <w:tcW w:w="4395" w:type="dxa"/>
            <w:shd w:val="clear" w:color="auto" w:fill="auto"/>
            <w:vAlign w:val="center"/>
          </w:tcPr>
          <w:p w14:paraId="62303B0D" w14:textId="77777777" w:rsidR="00EA052C" w:rsidRPr="00967925" w:rsidRDefault="00EA052C" w:rsidP="005F5B24">
            <w:pPr>
              <w:rPr>
                <w:lang w:eastAsia="x-none"/>
              </w:rPr>
            </w:pPr>
            <w:r w:rsidRPr="00967925">
              <w:rPr>
                <w:lang w:val="x-none" w:eastAsia="x-none"/>
              </w:rPr>
              <w:t>Schválená finanční částka PRV</w:t>
            </w:r>
            <w:r w:rsidRPr="00967925">
              <w:rPr>
                <w:lang w:eastAsia="x-none"/>
              </w:rPr>
              <w:t xml:space="preserve"> - konečná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5659AE" w14:textId="77777777" w:rsidR="00EA052C" w:rsidRPr="00266F52" w:rsidRDefault="00EA052C" w:rsidP="005F5B24">
            <w:pPr>
              <w:jc w:val="right"/>
              <w:rPr>
                <w:rFonts w:cs="Arial"/>
                <w:color w:val="FF0000"/>
              </w:rPr>
            </w:pPr>
            <w:r w:rsidRPr="008534E2">
              <w:rPr>
                <w:rFonts w:cs="Arial"/>
              </w:rPr>
              <w:t>41 956 669 274 Kč</w:t>
            </w:r>
          </w:p>
        </w:tc>
        <w:tc>
          <w:tcPr>
            <w:tcW w:w="1842" w:type="dxa"/>
            <w:vAlign w:val="center"/>
          </w:tcPr>
          <w:p w14:paraId="5EBB60FE" w14:textId="77777777" w:rsidR="00EA052C" w:rsidRPr="00266F52" w:rsidRDefault="00EA052C" w:rsidP="005F5B24">
            <w:pPr>
              <w:jc w:val="center"/>
              <w:rPr>
                <w:color w:val="FF0000"/>
                <w:lang w:eastAsia="x-none"/>
              </w:rPr>
            </w:pPr>
            <w:r w:rsidRPr="008534E2">
              <w:rPr>
                <w:lang w:eastAsia="x-none"/>
              </w:rPr>
              <w:t>-</w:t>
            </w:r>
          </w:p>
        </w:tc>
      </w:tr>
      <w:tr w:rsidR="00EA052C" w:rsidRPr="008534E2" w14:paraId="14099767" w14:textId="77777777" w:rsidTr="005F5B24">
        <w:trPr>
          <w:trHeight w:val="510"/>
        </w:trPr>
        <w:tc>
          <w:tcPr>
            <w:tcW w:w="4395" w:type="dxa"/>
            <w:shd w:val="clear" w:color="auto" w:fill="auto"/>
            <w:vAlign w:val="center"/>
          </w:tcPr>
          <w:p w14:paraId="66EAD6EC" w14:textId="77777777" w:rsidR="00EA052C" w:rsidRPr="00967925" w:rsidRDefault="00EA052C" w:rsidP="005F5B24">
            <w:pPr>
              <w:rPr>
                <w:lang w:val="x-none" w:eastAsia="x-none"/>
              </w:rPr>
            </w:pPr>
            <w:r w:rsidRPr="00967925">
              <w:rPr>
                <w:lang w:val="x-none" w:eastAsia="x-none"/>
              </w:rPr>
              <w:t>Čerpané finanční prostředky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441198" w14:textId="77777777" w:rsidR="00EA052C" w:rsidRPr="00266F52" w:rsidRDefault="00EA052C" w:rsidP="005F5B24">
            <w:pPr>
              <w:jc w:val="right"/>
              <w:rPr>
                <w:rFonts w:cs="Arial"/>
                <w:color w:val="FF0000"/>
              </w:rPr>
            </w:pPr>
            <w:r w:rsidRPr="008534E2">
              <w:rPr>
                <w:rFonts w:cs="Arial"/>
              </w:rPr>
              <w:t>41 419 155 971 Kč</w:t>
            </w:r>
          </w:p>
        </w:tc>
        <w:tc>
          <w:tcPr>
            <w:tcW w:w="1842" w:type="dxa"/>
            <w:vAlign w:val="center"/>
          </w:tcPr>
          <w:p w14:paraId="0063E9B6" w14:textId="77777777" w:rsidR="00EA052C" w:rsidRPr="008534E2" w:rsidRDefault="00EA052C" w:rsidP="005F5B24">
            <w:pPr>
              <w:ind w:left="709"/>
              <w:jc w:val="right"/>
              <w:rPr>
                <w:lang w:val="x-none" w:eastAsia="x-none"/>
              </w:rPr>
            </w:pPr>
            <w:r w:rsidRPr="008534E2">
              <w:rPr>
                <w:lang w:val="x-none" w:eastAsia="x-none"/>
              </w:rPr>
              <w:t>9</w:t>
            </w:r>
            <w:r w:rsidRPr="008534E2">
              <w:rPr>
                <w:lang w:eastAsia="x-none"/>
              </w:rPr>
              <w:t xml:space="preserve">8,72 </w:t>
            </w:r>
            <w:r w:rsidRPr="008534E2">
              <w:rPr>
                <w:lang w:val="x-none" w:eastAsia="x-none"/>
              </w:rPr>
              <w:t>%</w:t>
            </w:r>
          </w:p>
        </w:tc>
      </w:tr>
      <w:tr w:rsidR="00EA052C" w:rsidRPr="00266F52" w14:paraId="56EBB5DF" w14:textId="77777777" w:rsidTr="00E241AC">
        <w:trPr>
          <w:trHeight w:val="510"/>
        </w:trPr>
        <w:tc>
          <w:tcPr>
            <w:tcW w:w="4395" w:type="dxa"/>
            <w:shd w:val="clear" w:color="auto" w:fill="auto"/>
            <w:vAlign w:val="center"/>
          </w:tcPr>
          <w:p w14:paraId="4F020B4F" w14:textId="77777777" w:rsidR="00EA052C" w:rsidRPr="00967925" w:rsidRDefault="00EA052C" w:rsidP="005F5B24">
            <w:pPr>
              <w:rPr>
                <w:lang w:val="x-none" w:eastAsia="x-none"/>
              </w:rPr>
            </w:pPr>
            <w:r w:rsidRPr="00967925">
              <w:rPr>
                <w:bCs/>
                <w:lang w:val="x-none" w:eastAsia="x-none"/>
              </w:rPr>
              <w:t>Zůstatek (neodčerpané schválené finanční prostředky)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C78A315" w14:textId="77777777" w:rsidR="00EA052C" w:rsidRPr="008534E2" w:rsidRDefault="00EA052C" w:rsidP="005F5B24">
            <w:pPr>
              <w:jc w:val="right"/>
              <w:rPr>
                <w:rFonts w:cs="Arial"/>
              </w:rPr>
            </w:pPr>
            <w:r w:rsidRPr="008534E2">
              <w:rPr>
                <w:rFonts w:cs="Arial"/>
              </w:rPr>
              <w:t xml:space="preserve"> 537 513 303 Kč</w:t>
            </w:r>
          </w:p>
        </w:tc>
        <w:tc>
          <w:tcPr>
            <w:tcW w:w="1842" w:type="dxa"/>
            <w:vAlign w:val="center"/>
          </w:tcPr>
          <w:p w14:paraId="5B153053" w14:textId="77777777" w:rsidR="00EA052C" w:rsidRPr="00266F52" w:rsidRDefault="00EA052C" w:rsidP="005F5B24">
            <w:pPr>
              <w:ind w:left="709"/>
              <w:jc w:val="right"/>
              <w:rPr>
                <w:color w:val="FF0000"/>
                <w:lang w:val="x-none" w:eastAsia="x-none"/>
              </w:rPr>
            </w:pPr>
            <w:r w:rsidRPr="008534E2">
              <w:rPr>
                <w:lang w:eastAsia="x-none"/>
              </w:rPr>
              <w:t xml:space="preserve">1,28 </w:t>
            </w:r>
            <w:r w:rsidRPr="008534E2">
              <w:rPr>
                <w:lang w:val="x-none" w:eastAsia="x-none"/>
              </w:rPr>
              <w:t>%</w:t>
            </w:r>
          </w:p>
        </w:tc>
      </w:tr>
    </w:tbl>
    <w:p w14:paraId="2BACFE0F" w14:textId="77777777" w:rsidR="00EA052C" w:rsidRPr="00266F52" w:rsidRDefault="00EA052C" w:rsidP="00EA052C">
      <w:pPr>
        <w:ind w:left="142" w:hanging="142"/>
        <w:rPr>
          <w:color w:val="FF0000"/>
          <w:lang w:eastAsia="x-none"/>
        </w:rPr>
      </w:pPr>
    </w:p>
    <w:p w14:paraId="310B1269" w14:textId="77777777" w:rsidR="00EA052C" w:rsidRPr="008534E2" w:rsidRDefault="00EA052C" w:rsidP="00EA052C">
      <w:pPr>
        <w:rPr>
          <w:lang w:eastAsia="x-none"/>
        </w:rPr>
      </w:pPr>
    </w:p>
    <w:p w14:paraId="10CE13C6" w14:textId="77777777" w:rsidR="00EA052C" w:rsidRPr="00967925" w:rsidRDefault="00EA052C" w:rsidP="00EA052C">
      <w:pPr>
        <w:rPr>
          <w:bCs/>
          <w:lang w:val="x-none" w:eastAsia="x-none"/>
        </w:rPr>
      </w:pPr>
      <w:r w:rsidRPr="00967925">
        <w:rPr>
          <w:b/>
          <w:lang w:val="x-none" w:eastAsia="x-none"/>
        </w:rPr>
        <w:t xml:space="preserve">Průběžná </w:t>
      </w:r>
      <w:r w:rsidRPr="00967925">
        <w:rPr>
          <w:b/>
          <w:lang w:eastAsia="x-none"/>
        </w:rPr>
        <w:t>řídicí</w:t>
      </w:r>
      <w:r w:rsidRPr="00967925">
        <w:rPr>
          <w:b/>
          <w:lang w:val="x-none" w:eastAsia="x-none"/>
        </w:rPr>
        <w:t xml:space="preserve"> kontrola</w:t>
      </w:r>
      <w:r w:rsidRPr="00967925">
        <w:rPr>
          <w:lang w:val="x-none" w:eastAsia="x-none"/>
        </w:rPr>
        <w:t xml:space="preserve"> slouží </w:t>
      </w:r>
      <w:r w:rsidRPr="00967925">
        <w:rPr>
          <w:bCs/>
          <w:lang w:val="x-none" w:eastAsia="x-none"/>
        </w:rPr>
        <w:t>k</w:t>
      </w:r>
      <w:r w:rsidRPr="00967925">
        <w:rPr>
          <w:bCs/>
          <w:lang w:eastAsia="x-none"/>
        </w:rPr>
        <w:t>e</w:t>
      </w:r>
      <w:r w:rsidRPr="00967925">
        <w:rPr>
          <w:bCs/>
          <w:lang w:val="x-none" w:eastAsia="x-none"/>
        </w:rPr>
        <w:t xml:space="preserve"> sledování úplnosti a přesnosti průběhu operací </w:t>
      </w:r>
      <w:r w:rsidRPr="00967925">
        <w:rPr>
          <w:bCs/>
          <w:lang w:val="x-none" w:eastAsia="x-none"/>
        </w:rPr>
        <w:br w:type="textWrapping" w:clear="all"/>
        <w:t>a případnému usměrňování jednotlivých provozních a finančních operací</w:t>
      </w:r>
      <w:r w:rsidRPr="00967925">
        <w:rPr>
          <w:lang w:val="x-none" w:eastAsia="x-none"/>
        </w:rPr>
        <w:t xml:space="preserve">. Její provedení by mělo být podloženo zpracováním řádného písemného záznamu (viz PM </w:t>
      </w:r>
      <w:r w:rsidRPr="00967925">
        <w:rPr>
          <w:lang w:eastAsia="x-none"/>
        </w:rPr>
        <w:t xml:space="preserve"> č. 19/2022 platným pro rok 2023</w:t>
      </w:r>
      <w:r w:rsidRPr="00967925">
        <w:rPr>
          <w:lang w:val="x-none" w:eastAsia="x-none"/>
        </w:rPr>
        <w:t xml:space="preserve">). </w:t>
      </w:r>
      <w:r w:rsidRPr="00967925">
        <w:rPr>
          <w:bCs/>
          <w:lang w:val="x-none" w:eastAsia="x-none"/>
        </w:rPr>
        <w:t>Průběžnými říd</w:t>
      </w:r>
      <w:r w:rsidRPr="00967925">
        <w:rPr>
          <w:bCs/>
          <w:lang w:eastAsia="x-none"/>
        </w:rPr>
        <w:t>icí</w:t>
      </w:r>
      <w:r w:rsidRPr="00967925">
        <w:rPr>
          <w:bCs/>
          <w:lang w:val="x-none" w:eastAsia="x-none"/>
        </w:rPr>
        <w:t xml:space="preserve">mi kontrolami </w:t>
      </w:r>
      <w:r w:rsidRPr="00967925">
        <w:rPr>
          <w:u w:val="single"/>
          <w:lang w:val="x-none" w:eastAsia="x-none"/>
        </w:rPr>
        <w:t>provedenými jednotlivými příkazci operace</w:t>
      </w:r>
      <w:r w:rsidRPr="00967925">
        <w:rPr>
          <w:lang w:val="x-none" w:eastAsia="x-none"/>
        </w:rPr>
        <w:t xml:space="preserve"> nebo jimi pověřenými zaměstnanci </w:t>
      </w:r>
      <w:r w:rsidRPr="00967925">
        <w:rPr>
          <w:bCs/>
          <w:lang w:val="x-none" w:eastAsia="x-none"/>
        </w:rPr>
        <w:t xml:space="preserve">nebylo zjištěno nehospodárné, neefektivní </w:t>
      </w:r>
      <w:r w:rsidR="00EA1590">
        <w:rPr>
          <w:bCs/>
          <w:lang w:val="x-none" w:eastAsia="x-none"/>
        </w:rPr>
        <w:br/>
      </w:r>
      <w:r w:rsidRPr="00967925">
        <w:rPr>
          <w:bCs/>
          <w:lang w:val="x-none" w:eastAsia="x-none"/>
        </w:rPr>
        <w:t>a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>neúčelné vynakládání finančních prostředků</w:t>
      </w:r>
      <w:r w:rsidRPr="00967925">
        <w:rPr>
          <w:bCs/>
          <w:lang w:eastAsia="x-none"/>
        </w:rPr>
        <w:t>,</w:t>
      </w:r>
      <w:r w:rsidRPr="00967925">
        <w:rPr>
          <w:b/>
          <w:bCs/>
          <w:lang w:val="x-none" w:eastAsia="x-none"/>
        </w:rPr>
        <w:t xml:space="preserve"> </w:t>
      </w:r>
      <w:r w:rsidRPr="00967925">
        <w:rPr>
          <w:lang w:val="x-none" w:eastAsia="x-none"/>
        </w:rPr>
        <w:t xml:space="preserve">byly </w:t>
      </w:r>
      <w:r w:rsidRPr="00967925">
        <w:rPr>
          <w:bCs/>
          <w:lang w:val="x-none" w:eastAsia="x-none"/>
        </w:rPr>
        <w:t xml:space="preserve">vždy vynakládány v souladu </w:t>
      </w:r>
      <w:r w:rsidR="00EA1590">
        <w:rPr>
          <w:bCs/>
          <w:lang w:val="x-none" w:eastAsia="x-none"/>
        </w:rPr>
        <w:br/>
      </w:r>
      <w:r w:rsidRPr="00967925">
        <w:rPr>
          <w:bCs/>
          <w:lang w:val="x-none" w:eastAsia="x-none"/>
        </w:rPr>
        <w:t>s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 xml:space="preserve">platnými právními předpisy, případné </w:t>
      </w:r>
      <w:r w:rsidRPr="00967925">
        <w:rPr>
          <w:lang w:val="x-none" w:eastAsia="x-none"/>
        </w:rPr>
        <w:t xml:space="preserve">dílčí </w:t>
      </w:r>
      <w:r w:rsidRPr="00967925">
        <w:rPr>
          <w:bCs/>
          <w:lang w:val="x-none" w:eastAsia="x-none"/>
        </w:rPr>
        <w:t>nedostatky byly odstraňovány</w:t>
      </w:r>
      <w:r w:rsidRPr="00967925">
        <w:rPr>
          <w:bCs/>
          <w:lang w:eastAsia="x-none"/>
        </w:rPr>
        <w:t>.</w:t>
      </w:r>
    </w:p>
    <w:p w14:paraId="4CD94D4C" w14:textId="77777777" w:rsidR="00EA052C" w:rsidRPr="00266F52" w:rsidRDefault="00EA052C" w:rsidP="00EA052C">
      <w:pPr>
        <w:rPr>
          <w:bCs/>
          <w:color w:val="FF0000"/>
          <w:lang w:val="x-none" w:eastAsia="x-none"/>
        </w:rPr>
      </w:pPr>
    </w:p>
    <w:p w14:paraId="4777498E" w14:textId="77777777" w:rsidR="00EA052C" w:rsidRDefault="00EA052C" w:rsidP="00EA052C">
      <w:pPr>
        <w:rPr>
          <w:bCs/>
          <w:lang w:eastAsia="x-none"/>
        </w:rPr>
      </w:pPr>
      <w:r w:rsidRPr="00967925">
        <w:rPr>
          <w:b/>
          <w:bCs/>
          <w:lang w:val="x-none" w:eastAsia="x-none"/>
        </w:rPr>
        <w:t xml:space="preserve">Následná </w:t>
      </w:r>
      <w:r w:rsidRPr="00967925">
        <w:rPr>
          <w:b/>
          <w:bCs/>
          <w:lang w:eastAsia="x-none"/>
        </w:rPr>
        <w:t>řídicí</w:t>
      </w:r>
      <w:r w:rsidRPr="00967925">
        <w:rPr>
          <w:b/>
          <w:bCs/>
          <w:lang w:val="x-none" w:eastAsia="x-none"/>
        </w:rPr>
        <w:t xml:space="preserve"> kontrola </w:t>
      </w:r>
      <w:r w:rsidRPr="00967925">
        <w:rPr>
          <w:lang w:eastAsia="x-none"/>
        </w:rPr>
        <w:t>byla</w:t>
      </w:r>
      <w:r w:rsidRPr="00967925">
        <w:rPr>
          <w:bCs/>
          <w:lang w:val="x-none" w:eastAsia="x-none"/>
        </w:rPr>
        <w:t xml:space="preserve"> </w:t>
      </w:r>
      <w:r w:rsidRPr="00967925">
        <w:rPr>
          <w:bCs/>
          <w:lang w:eastAsia="x-none"/>
        </w:rPr>
        <w:t xml:space="preserve">v roce 2023 </w:t>
      </w:r>
      <w:r w:rsidRPr="00967925">
        <w:rPr>
          <w:bCs/>
          <w:lang w:val="x-none" w:eastAsia="x-none"/>
        </w:rPr>
        <w:t>na MPSV upravena v </w:t>
      </w:r>
      <w:r w:rsidRPr="00967925">
        <w:rPr>
          <w:bCs/>
          <w:lang w:eastAsia="x-none"/>
        </w:rPr>
        <w:t>PM č. 19/2022</w:t>
      </w:r>
      <w:r w:rsidRPr="00967925">
        <w:rPr>
          <w:bCs/>
          <w:lang w:val="x-none" w:eastAsia="x-none"/>
        </w:rPr>
        <w:t xml:space="preserve"> </w:t>
      </w:r>
      <w:r w:rsidRPr="00967925">
        <w:rPr>
          <w:lang w:val="x-none" w:eastAsia="x-none"/>
        </w:rPr>
        <w:t>tak, že ji příkazci operace zajišť</w:t>
      </w:r>
      <w:r w:rsidRPr="00967925">
        <w:rPr>
          <w:lang w:eastAsia="x-none"/>
        </w:rPr>
        <w:t>ovali</w:t>
      </w:r>
      <w:r w:rsidRPr="00967925">
        <w:rPr>
          <w:lang w:val="x-none" w:eastAsia="x-none"/>
        </w:rPr>
        <w:t xml:space="preserve"> periodicky, minimálně jedenkrát ročně prostřednictvím pověřených zaměstnanců, za účelem prověření, zkoumání</w:t>
      </w:r>
      <w:r w:rsidRPr="00967925">
        <w:rPr>
          <w:lang w:eastAsia="x-none"/>
        </w:rPr>
        <w:t xml:space="preserve"> </w:t>
      </w:r>
      <w:r w:rsidRPr="00967925">
        <w:rPr>
          <w:lang w:val="x-none" w:eastAsia="x-none"/>
        </w:rPr>
        <w:t>a</w:t>
      </w:r>
      <w:r w:rsidRPr="00967925">
        <w:rPr>
          <w:lang w:eastAsia="x-none"/>
        </w:rPr>
        <w:t xml:space="preserve"> </w:t>
      </w:r>
      <w:r w:rsidRPr="00967925">
        <w:rPr>
          <w:lang w:val="x-none" w:eastAsia="x-none"/>
        </w:rPr>
        <w:t>vyhodnocení správnosti</w:t>
      </w:r>
      <w:r w:rsidRPr="00967925">
        <w:rPr>
          <w:lang w:eastAsia="x-none"/>
        </w:rPr>
        <w:t xml:space="preserve"> </w:t>
      </w:r>
      <w:r w:rsidRPr="00967925">
        <w:rPr>
          <w:lang w:val="x-none" w:eastAsia="x-none"/>
        </w:rPr>
        <w:t>všech</w:t>
      </w:r>
      <w:r w:rsidRPr="00967925">
        <w:rPr>
          <w:lang w:eastAsia="x-none"/>
        </w:rPr>
        <w:t xml:space="preserve"> </w:t>
      </w:r>
      <w:r w:rsidRPr="00967925">
        <w:rPr>
          <w:lang w:val="x-none" w:eastAsia="x-none"/>
        </w:rPr>
        <w:t>údajů</w:t>
      </w:r>
      <w:r w:rsidRPr="00967925">
        <w:rPr>
          <w:lang w:eastAsia="x-none"/>
        </w:rPr>
        <w:t xml:space="preserve"> </w:t>
      </w:r>
      <w:r w:rsidRPr="00967925">
        <w:rPr>
          <w:lang w:val="x-none" w:eastAsia="x-none"/>
        </w:rPr>
        <w:t>u</w:t>
      </w:r>
      <w:r w:rsidRPr="00967925">
        <w:rPr>
          <w:lang w:eastAsia="x-none"/>
        </w:rPr>
        <w:t xml:space="preserve"> </w:t>
      </w:r>
      <w:r w:rsidRPr="00967925">
        <w:rPr>
          <w:lang w:val="x-none" w:eastAsia="x-none"/>
        </w:rPr>
        <w:t xml:space="preserve">reprezentativního vzorku vybraných operací. </w:t>
      </w:r>
      <w:r w:rsidRPr="00967925">
        <w:rPr>
          <w:bCs/>
          <w:lang w:val="x-none" w:eastAsia="x-none"/>
        </w:rPr>
        <w:t>O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 xml:space="preserve">provedené následné </w:t>
      </w:r>
      <w:r w:rsidRPr="00967925">
        <w:rPr>
          <w:bCs/>
          <w:lang w:eastAsia="x-none"/>
        </w:rPr>
        <w:t>řídicí</w:t>
      </w:r>
      <w:r w:rsidRPr="00967925">
        <w:rPr>
          <w:bCs/>
          <w:lang w:val="x-none" w:eastAsia="x-none"/>
        </w:rPr>
        <w:t xml:space="preserve"> kontrole m</w:t>
      </w:r>
      <w:r w:rsidRPr="00967925">
        <w:rPr>
          <w:bCs/>
          <w:lang w:eastAsia="x-none"/>
        </w:rPr>
        <w:t>ěla</w:t>
      </w:r>
      <w:r w:rsidRPr="00967925">
        <w:rPr>
          <w:bCs/>
          <w:lang w:val="x-none" w:eastAsia="x-none"/>
        </w:rPr>
        <w:t xml:space="preserve"> být pořízena Zpráva o výsledku následné </w:t>
      </w:r>
      <w:r w:rsidRPr="00967925">
        <w:rPr>
          <w:bCs/>
          <w:lang w:eastAsia="x-none"/>
        </w:rPr>
        <w:t>řídicí</w:t>
      </w:r>
      <w:r w:rsidRPr="00967925">
        <w:rPr>
          <w:bCs/>
          <w:lang w:val="x-none" w:eastAsia="x-none"/>
        </w:rPr>
        <w:t xml:space="preserve"> kontroly. Následnými </w:t>
      </w:r>
      <w:r w:rsidRPr="00967925">
        <w:rPr>
          <w:bCs/>
          <w:lang w:eastAsia="x-none"/>
        </w:rPr>
        <w:t>řídicími</w:t>
      </w:r>
      <w:r w:rsidRPr="00967925">
        <w:rPr>
          <w:bCs/>
          <w:lang w:val="x-none" w:eastAsia="x-none"/>
        </w:rPr>
        <w:t xml:space="preserve"> kontrolami</w:t>
      </w:r>
      <w:r w:rsidRPr="00967925">
        <w:rPr>
          <w:bCs/>
          <w:lang w:eastAsia="x-none"/>
        </w:rPr>
        <w:t>,</w:t>
      </w:r>
      <w:r w:rsidRPr="00967925">
        <w:rPr>
          <w:b/>
          <w:bCs/>
          <w:lang w:val="x-none" w:eastAsia="x-none"/>
        </w:rPr>
        <w:t xml:space="preserve"> </w:t>
      </w:r>
      <w:r w:rsidRPr="00967925">
        <w:rPr>
          <w:u w:val="single"/>
          <w:lang w:val="x-none" w:eastAsia="x-none"/>
        </w:rPr>
        <w:t>provedenými</w:t>
      </w:r>
      <w:r w:rsidRPr="00967925">
        <w:rPr>
          <w:b/>
          <w:bCs/>
          <w:u w:val="single"/>
          <w:lang w:val="x-none" w:eastAsia="x-none"/>
        </w:rPr>
        <w:t xml:space="preserve"> </w:t>
      </w:r>
      <w:r w:rsidRPr="00967925">
        <w:rPr>
          <w:u w:val="single"/>
          <w:lang w:val="x-none" w:eastAsia="x-none"/>
        </w:rPr>
        <w:t>některými</w:t>
      </w:r>
      <w:r w:rsidRPr="00967925">
        <w:rPr>
          <w:b/>
          <w:bCs/>
          <w:u w:val="single"/>
          <w:lang w:val="x-none" w:eastAsia="x-none"/>
        </w:rPr>
        <w:t xml:space="preserve"> </w:t>
      </w:r>
      <w:r w:rsidRPr="00967925">
        <w:rPr>
          <w:u w:val="single"/>
          <w:lang w:val="x-none" w:eastAsia="x-none"/>
        </w:rPr>
        <w:t>příkazci operace</w:t>
      </w:r>
      <w:r w:rsidRPr="00967925">
        <w:rPr>
          <w:lang w:val="x-none" w:eastAsia="x-none"/>
        </w:rPr>
        <w:t xml:space="preserve"> </w:t>
      </w:r>
      <w:r w:rsidRPr="00967925">
        <w:rPr>
          <w:bCs/>
          <w:lang w:val="x-none" w:eastAsia="x-none"/>
        </w:rPr>
        <w:t>u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>vybraných operací</w:t>
      </w:r>
      <w:r w:rsidRPr="00967925">
        <w:rPr>
          <w:bCs/>
          <w:lang w:eastAsia="x-none"/>
        </w:rPr>
        <w:t>,</w:t>
      </w:r>
      <w:r w:rsidRPr="00967925">
        <w:rPr>
          <w:bCs/>
          <w:lang w:val="x-none" w:eastAsia="x-none"/>
        </w:rPr>
        <w:t xml:space="preserve"> nebylo zjištěno, že by došlo</w:t>
      </w:r>
      <w:r w:rsidRPr="00967925">
        <w:rPr>
          <w:bCs/>
          <w:lang w:eastAsia="x-none"/>
        </w:rPr>
        <w:t xml:space="preserve"> </w:t>
      </w:r>
      <w:r w:rsidRPr="00967925">
        <w:rPr>
          <w:lang w:val="x-none" w:eastAsia="x-none"/>
        </w:rPr>
        <w:t>v</w:t>
      </w:r>
      <w:r w:rsidRPr="00967925">
        <w:rPr>
          <w:lang w:eastAsia="x-none"/>
        </w:rPr>
        <w:t xml:space="preserve"> </w:t>
      </w:r>
      <w:r w:rsidRPr="00967925">
        <w:rPr>
          <w:lang w:val="x-none" w:eastAsia="x-none"/>
        </w:rPr>
        <w:t>průběhu</w:t>
      </w:r>
      <w:r w:rsidRPr="00967925">
        <w:rPr>
          <w:lang w:eastAsia="x-none"/>
        </w:rPr>
        <w:t xml:space="preserve"> </w:t>
      </w:r>
      <w:r w:rsidRPr="00967925">
        <w:rPr>
          <w:bCs/>
          <w:lang w:val="x-none" w:eastAsia="x-none"/>
        </w:rPr>
        <w:t>roku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>20</w:t>
      </w:r>
      <w:r w:rsidRPr="00967925">
        <w:rPr>
          <w:bCs/>
          <w:lang w:eastAsia="x-none"/>
        </w:rPr>
        <w:t xml:space="preserve">23 </w:t>
      </w:r>
      <w:r w:rsidRPr="00967925">
        <w:rPr>
          <w:bCs/>
          <w:lang w:val="x-none" w:eastAsia="x-none"/>
        </w:rPr>
        <w:t>k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>nehospodárnému,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>neefektivnímu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>a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>neúčelnému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>nakládání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>s</w:t>
      </w:r>
      <w:r w:rsidRPr="00967925">
        <w:rPr>
          <w:bCs/>
          <w:lang w:eastAsia="x-none"/>
        </w:rPr>
        <w:t xml:space="preserve"> </w:t>
      </w:r>
      <w:r w:rsidRPr="00967925">
        <w:rPr>
          <w:bCs/>
          <w:lang w:val="x-none" w:eastAsia="x-none"/>
        </w:rPr>
        <w:t>finančními prostředky</w:t>
      </w:r>
      <w:r w:rsidRPr="00967925">
        <w:rPr>
          <w:bCs/>
          <w:lang w:eastAsia="x-none"/>
        </w:rPr>
        <w:t>. Zároveň byla přijata taková opatření, aby zjištěné dílčí nedostatky byly odstraněny a bylo zabráněno jejich opakování.</w:t>
      </w:r>
    </w:p>
    <w:p w14:paraId="464DAA79" w14:textId="77777777" w:rsidR="00EA1590" w:rsidRDefault="00EA1590" w:rsidP="00EA052C">
      <w:pPr>
        <w:rPr>
          <w:bCs/>
          <w:lang w:eastAsia="x-none"/>
        </w:rPr>
      </w:pPr>
    </w:p>
    <w:p w14:paraId="2C91AE4A" w14:textId="77777777" w:rsidR="00EA1590" w:rsidRDefault="00EA1590" w:rsidP="00EA052C">
      <w:pPr>
        <w:rPr>
          <w:bCs/>
          <w:lang w:eastAsia="x-none"/>
        </w:rPr>
      </w:pPr>
    </w:p>
    <w:p w14:paraId="4A768D9E" w14:textId="77777777" w:rsidR="00E2207A" w:rsidRDefault="00E2207A" w:rsidP="00EA052C">
      <w:pPr>
        <w:rPr>
          <w:bCs/>
          <w:lang w:eastAsia="x-none"/>
        </w:rPr>
      </w:pPr>
    </w:p>
    <w:p w14:paraId="14E026D5" w14:textId="77777777" w:rsidR="00E2207A" w:rsidRDefault="00E2207A" w:rsidP="00EA052C">
      <w:pPr>
        <w:rPr>
          <w:bCs/>
          <w:lang w:eastAsia="x-none"/>
        </w:rPr>
      </w:pPr>
    </w:p>
    <w:p w14:paraId="6BD8078D" w14:textId="77777777" w:rsidR="00090452" w:rsidRDefault="00090452" w:rsidP="00EA052C">
      <w:pPr>
        <w:rPr>
          <w:bCs/>
          <w:lang w:eastAsia="x-none"/>
        </w:rPr>
      </w:pPr>
    </w:p>
    <w:p w14:paraId="59A68EAD" w14:textId="77777777" w:rsidR="00EA1590" w:rsidRPr="00967925" w:rsidRDefault="00EA1590" w:rsidP="00EA052C">
      <w:pPr>
        <w:rPr>
          <w:bCs/>
          <w:lang w:eastAsia="x-none"/>
        </w:rPr>
      </w:pPr>
    </w:p>
    <w:p w14:paraId="65BC76C2" w14:textId="77777777" w:rsidR="00EA052C" w:rsidRPr="00266F52" w:rsidRDefault="00EA052C" w:rsidP="00EA052C">
      <w:pPr>
        <w:rPr>
          <w:color w:val="FF0000"/>
          <w:lang w:val="x-none" w:eastAsia="x-none"/>
        </w:rPr>
      </w:pPr>
    </w:p>
    <w:p w14:paraId="0A24F09C" w14:textId="77777777" w:rsidR="00EA052C" w:rsidRPr="000A075D" w:rsidRDefault="00EA052C" w:rsidP="005D4A57">
      <w:pPr>
        <w:pStyle w:val="Nadpis3"/>
        <w:rPr>
          <w:caps/>
        </w:rPr>
      </w:pPr>
      <w:bookmarkStart w:id="9" w:name="_Toc444159010"/>
      <w:bookmarkStart w:id="10" w:name="_Toc160019380"/>
      <w:r w:rsidRPr="000A075D">
        <w:rPr>
          <w:caps/>
        </w:rPr>
        <w:lastRenderedPageBreak/>
        <w:t xml:space="preserve">4.1.2. </w:t>
      </w:r>
      <w:r w:rsidRPr="000A075D">
        <w:t>Dotazníkový průzkum</w:t>
      </w:r>
      <w:bookmarkEnd w:id="9"/>
      <w:bookmarkEnd w:id="10"/>
    </w:p>
    <w:p w14:paraId="462F3503" w14:textId="77777777" w:rsidR="00EA052C" w:rsidRPr="000A075D" w:rsidRDefault="00EA052C" w:rsidP="00EA052C">
      <w:pPr>
        <w:rPr>
          <w:rFonts w:cs="Arial"/>
        </w:rPr>
      </w:pPr>
    </w:p>
    <w:p w14:paraId="1C11919A" w14:textId="77777777" w:rsidR="00EA052C" w:rsidRPr="000A075D" w:rsidRDefault="00EA052C" w:rsidP="00EA052C">
      <w:pPr>
        <w:autoSpaceDE w:val="0"/>
        <w:autoSpaceDN w:val="0"/>
        <w:adjustRightInd w:val="0"/>
        <w:rPr>
          <w:rFonts w:cs="Arial"/>
        </w:rPr>
      </w:pPr>
      <w:r w:rsidRPr="000A075D">
        <w:rPr>
          <w:rFonts w:cs="Arial"/>
        </w:rPr>
        <w:t xml:space="preserve">Příkazci operace (ke dni 31. prosince 2023 jich bylo celkem </w:t>
      </w:r>
      <w:r>
        <w:rPr>
          <w:rFonts w:cs="Arial"/>
        </w:rPr>
        <w:t>88</w:t>
      </w:r>
      <w:r w:rsidRPr="000A075D">
        <w:rPr>
          <w:rFonts w:cs="Arial"/>
        </w:rPr>
        <w:t>) byli v rámci sběru informací požádáni o popsání svých zkušeností, komentář</w:t>
      </w:r>
      <w:r w:rsidR="0015279B">
        <w:rPr>
          <w:rFonts w:cs="Arial"/>
        </w:rPr>
        <w:t>ů</w:t>
      </w:r>
      <w:r w:rsidRPr="000A075D">
        <w:rPr>
          <w:rFonts w:cs="Arial"/>
        </w:rPr>
        <w:t xml:space="preserve">, identifikaci možných rizik nebo komplikací při provádění řídící kontroly. Návratnost odpovědí za jednotlivé útvary byla </w:t>
      </w:r>
      <w:r w:rsidR="0015279B">
        <w:rPr>
          <w:rFonts w:cs="Arial"/>
        </w:rPr>
        <w:t xml:space="preserve">pouze </w:t>
      </w:r>
      <w:r w:rsidRPr="000A075D">
        <w:rPr>
          <w:rFonts w:cs="Arial"/>
        </w:rPr>
        <w:t>3</w:t>
      </w:r>
      <w:r>
        <w:rPr>
          <w:rFonts w:cs="Arial"/>
        </w:rPr>
        <w:t>3</w:t>
      </w:r>
      <w:r w:rsidRPr="000A075D">
        <w:rPr>
          <w:rFonts w:cs="Arial"/>
        </w:rPr>
        <w:t xml:space="preserve"> %.</w:t>
      </w:r>
    </w:p>
    <w:p w14:paraId="690B8ECB" w14:textId="77777777" w:rsidR="00EA052C" w:rsidRPr="00266F52" w:rsidRDefault="00EA052C" w:rsidP="00EA052C">
      <w:pPr>
        <w:autoSpaceDE w:val="0"/>
        <w:autoSpaceDN w:val="0"/>
        <w:adjustRightInd w:val="0"/>
        <w:rPr>
          <w:rFonts w:cs="Arial"/>
          <w:color w:val="FF0000"/>
        </w:rPr>
      </w:pPr>
    </w:p>
    <w:p w14:paraId="7B71F761" w14:textId="77777777" w:rsidR="00EA052C" w:rsidRPr="000A075D" w:rsidRDefault="00EA052C" w:rsidP="00EA052C">
      <w:pPr>
        <w:autoSpaceDE w:val="0"/>
        <w:autoSpaceDN w:val="0"/>
        <w:adjustRightInd w:val="0"/>
        <w:rPr>
          <w:rFonts w:cs="Arial"/>
          <w:b/>
        </w:rPr>
      </w:pPr>
      <w:r w:rsidRPr="000A075D">
        <w:rPr>
          <w:rFonts w:cs="Arial"/>
          <w:b/>
        </w:rPr>
        <w:t>Nejdůležitější poznatky, které vyplynuly z odpovědí příkazců operace:</w:t>
      </w:r>
    </w:p>
    <w:p w14:paraId="5E2C4B2F" w14:textId="77777777" w:rsidR="00EA052C" w:rsidRPr="00266F52" w:rsidRDefault="00EA052C" w:rsidP="00EA052C">
      <w:pPr>
        <w:autoSpaceDE w:val="0"/>
        <w:autoSpaceDN w:val="0"/>
        <w:adjustRightInd w:val="0"/>
        <w:rPr>
          <w:rFonts w:cs="Arial"/>
          <w:color w:val="FF0000"/>
        </w:rPr>
      </w:pPr>
    </w:p>
    <w:p w14:paraId="644D2928" w14:textId="5ECF5E2B" w:rsidR="00EA052C" w:rsidRPr="00E8446B" w:rsidRDefault="00EA052C" w:rsidP="00EA052C">
      <w:pPr>
        <w:autoSpaceDE w:val="0"/>
        <w:autoSpaceDN w:val="0"/>
        <w:adjustRightInd w:val="0"/>
        <w:spacing w:after="120"/>
        <w:rPr>
          <w:rFonts w:cs="Arial"/>
        </w:rPr>
      </w:pPr>
      <w:r w:rsidRPr="00E8446B">
        <w:rPr>
          <w:rFonts w:cs="Arial"/>
        </w:rPr>
        <w:t>Následně uvedené informace vyplývají jenom z předložených odpovědí dotazníkového šetření u příkazců operace a správce rozpočtu</w:t>
      </w:r>
      <w:r w:rsidR="00E2207A">
        <w:rPr>
          <w:rFonts w:cs="Arial"/>
        </w:rPr>
        <w:t xml:space="preserve"> (odpovědělo pouze 33 % oslovených příkazců operace)</w:t>
      </w:r>
      <w:r w:rsidRPr="00E8446B">
        <w:rPr>
          <w:rFonts w:cs="Arial"/>
        </w:rPr>
        <w:t>:</w:t>
      </w:r>
    </w:p>
    <w:p w14:paraId="7F30D0A0" w14:textId="77777777" w:rsidR="00EA052C" w:rsidRPr="00E8446B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cs="Arial"/>
        </w:rPr>
      </w:pPr>
      <w:r w:rsidRPr="00E8446B">
        <w:rPr>
          <w:rFonts w:cs="Arial"/>
        </w:rPr>
        <w:t>průběžná řídící kontrola je prováděna ve většině případů u všech operací,</w:t>
      </w:r>
    </w:p>
    <w:p w14:paraId="0EC075F3" w14:textId="7D572C39" w:rsidR="00EA052C" w:rsidRPr="00E8446B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cs="Arial"/>
        </w:rPr>
      </w:pPr>
      <w:r w:rsidRPr="00E8446B">
        <w:rPr>
          <w:rFonts w:cs="Arial"/>
        </w:rPr>
        <w:t>45 % příkazců operace zhotovuje písemný záznam o provedené průběžné řídicí kontrole,</w:t>
      </w:r>
    </w:p>
    <w:p w14:paraId="0879AD71" w14:textId="77777777" w:rsidR="00EA052C" w:rsidRPr="00E8446B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cs="Arial"/>
        </w:rPr>
      </w:pPr>
      <w:r w:rsidRPr="00E8446B">
        <w:rPr>
          <w:rFonts w:cs="Arial"/>
        </w:rPr>
        <w:t>následná říd</w:t>
      </w:r>
      <w:r>
        <w:rPr>
          <w:rFonts w:cs="Arial"/>
        </w:rPr>
        <w:t>i</w:t>
      </w:r>
      <w:r w:rsidRPr="00E8446B">
        <w:rPr>
          <w:rFonts w:cs="Arial"/>
        </w:rPr>
        <w:t>cí kontrola je prováděna příkazci operace minimálně jedenkrát ročně zkoumáním a vyhodnocováním správnosti všech údajů u reprezentativního vzorku vybraných operací, ve většině případů reprezentativní vzorek operací pokrýval alespoň 5 % celkových výdajů na operace,</w:t>
      </w:r>
    </w:p>
    <w:p w14:paraId="3EFF8A70" w14:textId="77777777" w:rsidR="00EA052C" w:rsidRPr="004C7A8C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cs="Arial"/>
        </w:rPr>
      </w:pPr>
      <w:r w:rsidRPr="004C7A8C">
        <w:rPr>
          <w:rFonts w:cs="Arial"/>
        </w:rPr>
        <w:t>59 % příkazců operace zhotovuje písemný záznam o provedení následné řídicí kontroly,</w:t>
      </w:r>
    </w:p>
    <w:p w14:paraId="6C6EC1FA" w14:textId="778E6B83" w:rsidR="00EA052C" w:rsidRPr="004C7A8C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cs="Arial"/>
        </w:rPr>
      </w:pPr>
      <w:r w:rsidRPr="004C7A8C">
        <w:rPr>
          <w:rFonts w:cs="Arial"/>
        </w:rPr>
        <w:t>kritéria 3E má nastavena většina příkazců operace a to v souladu se zákonem o finanční kontrole tak, že je zjišťováno zachování poměru kvalita a přínos ve srovnání s vynaloženým objemem finančních prostředků, v podobě minimalizace nákladů na zdroje a dodržení jejich požadované kvality z hlediska potřeb dané činnosti, před výběrem dodavatele služeb je sledována cena v čase a místě obvyklá, finanční prostředky jsou vynakládány na účel, na který jsou alokovány, ve správnou dobu, v dostatečném množství, za služby či produkty v přiměřené kvalitě a za nejvýhodnější cenu, sekce 8 má kritéria rozpracována v řídicí dokumentaci programu OPZ/OPZ+/NPO,</w:t>
      </w:r>
    </w:p>
    <w:p w14:paraId="7014851C" w14:textId="540D7276" w:rsidR="00EA052C" w:rsidRPr="004C7A8C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cs="Arial"/>
        </w:rPr>
      </w:pPr>
      <w:r w:rsidRPr="00E2207A">
        <w:rPr>
          <w:rFonts w:cs="Arial"/>
        </w:rPr>
        <w:t>kritéria</w:t>
      </w:r>
      <w:r w:rsidR="00E2207A" w:rsidRPr="00E2207A">
        <w:rPr>
          <w:rFonts w:cs="Arial"/>
        </w:rPr>
        <w:t xml:space="preserve"> 3E</w:t>
      </w:r>
      <w:r w:rsidRPr="00E2207A">
        <w:rPr>
          <w:rFonts w:cs="Arial"/>
        </w:rPr>
        <w:t xml:space="preserve"> </w:t>
      </w:r>
      <w:r w:rsidRPr="004C7A8C">
        <w:rPr>
          <w:rFonts w:cs="Arial"/>
        </w:rPr>
        <w:t>jsou revidována u všech příkazců operace, kteří odpověděli na dotazníkové šetření, a to nejen periodicky alespoň 1x ročně, ale i průběžně při výskytu významných změn,</w:t>
      </w:r>
    </w:p>
    <w:p w14:paraId="5E437596" w14:textId="77777777" w:rsidR="00EA052C" w:rsidRPr="004C7A8C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cs="Arial"/>
        </w:rPr>
      </w:pPr>
      <w:r w:rsidRPr="004C7A8C">
        <w:rPr>
          <w:rFonts w:cs="Arial"/>
        </w:rPr>
        <w:t>v rámci nastavení nebo výkonu říd</w:t>
      </w:r>
      <w:r>
        <w:rPr>
          <w:rFonts w:cs="Arial"/>
        </w:rPr>
        <w:t>i</w:t>
      </w:r>
      <w:r w:rsidRPr="004C7A8C">
        <w:rPr>
          <w:rFonts w:cs="Arial"/>
        </w:rPr>
        <w:t>cí kontroly ve většině případů nebyla příkazci operace v roce 2023 přijata žádná nápravná opatření, pouze ve dvou případech byla nápravná opatření přijata – v jednom případě došlo k aktualizaci metodického postupu</w:t>
      </w:r>
      <w:r w:rsidR="00BB3587">
        <w:rPr>
          <w:rFonts w:cs="Arial"/>
        </w:rPr>
        <w:t> </w:t>
      </w:r>
      <w:r w:rsidRPr="004C7A8C">
        <w:rPr>
          <w:rFonts w:cs="Arial"/>
        </w:rPr>
        <w:t>ve</w:t>
      </w:r>
      <w:r w:rsidR="00BB3587">
        <w:rPr>
          <w:rFonts w:cs="Arial"/>
        </w:rPr>
        <w:t> </w:t>
      </w:r>
      <w:r w:rsidRPr="004C7A8C">
        <w:rPr>
          <w:rFonts w:cs="Arial"/>
        </w:rPr>
        <w:t>věci</w:t>
      </w:r>
      <w:r w:rsidR="00BB3587">
        <w:rPr>
          <w:rFonts w:cs="Arial"/>
        </w:rPr>
        <w:t> </w:t>
      </w:r>
      <w:r w:rsidRPr="004C7A8C">
        <w:rPr>
          <w:rFonts w:cs="Arial"/>
        </w:rPr>
        <w:t>hospodaření</w:t>
      </w:r>
      <w:r w:rsidR="00BB3587">
        <w:rPr>
          <w:rFonts w:cs="Arial"/>
        </w:rPr>
        <w:t> </w:t>
      </w:r>
      <w:r w:rsidRPr="004C7A8C">
        <w:rPr>
          <w:rFonts w:cs="Arial"/>
        </w:rPr>
        <w:t>s</w:t>
      </w:r>
      <w:r w:rsidR="00BB3587">
        <w:rPr>
          <w:rFonts w:cs="Arial"/>
        </w:rPr>
        <w:t> </w:t>
      </w:r>
      <w:r w:rsidRPr="004C7A8C">
        <w:rPr>
          <w:rFonts w:cs="Arial"/>
        </w:rPr>
        <w:t>prostředky</w:t>
      </w:r>
      <w:r w:rsidR="00BB3587">
        <w:rPr>
          <w:rFonts w:cs="Arial"/>
        </w:rPr>
        <w:t> </w:t>
      </w:r>
      <w:r w:rsidRPr="004C7A8C">
        <w:rPr>
          <w:rFonts w:cs="Arial"/>
        </w:rPr>
        <w:t>na</w:t>
      </w:r>
      <w:r w:rsidR="00BB3587">
        <w:rPr>
          <w:rFonts w:cs="Arial"/>
        </w:rPr>
        <w:t> </w:t>
      </w:r>
      <w:r w:rsidRPr="004C7A8C">
        <w:rPr>
          <w:rFonts w:cs="Arial"/>
        </w:rPr>
        <w:t>občerstvení</w:t>
      </w:r>
      <w:r w:rsidR="00BB3587">
        <w:rPr>
          <w:rFonts w:cs="Arial"/>
        </w:rPr>
        <w:t> </w:t>
      </w:r>
      <w:r w:rsidRPr="004C7A8C">
        <w:rPr>
          <w:rFonts w:cs="Arial"/>
        </w:rPr>
        <w:t xml:space="preserve">a stravování v rámci neinvestičních projektů a ve druhém případě byl vydán pokyn </w:t>
      </w:r>
      <w:r w:rsidR="00EA1590">
        <w:rPr>
          <w:rFonts w:cs="Arial"/>
        </w:rPr>
        <w:br/>
      </w:r>
      <w:r w:rsidRPr="004C7A8C">
        <w:rPr>
          <w:rFonts w:cs="Arial"/>
        </w:rPr>
        <w:t>k</w:t>
      </w:r>
      <w:r w:rsidR="00BB3587">
        <w:rPr>
          <w:rFonts w:cs="Arial"/>
        </w:rPr>
        <w:t>e</w:t>
      </w:r>
      <w:r w:rsidRPr="004C7A8C">
        <w:rPr>
          <w:rFonts w:cs="Arial"/>
        </w:rPr>
        <w:t xml:space="preserve"> soustavnému upozorňování na povinnosti ostatních představených </w:t>
      </w:r>
      <w:r w:rsidRPr="004C7A8C">
        <w:rPr>
          <w:rFonts w:cs="Arial"/>
        </w:rPr>
        <w:br/>
        <w:t xml:space="preserve">a jejich podřízených vyplývající z řídicích aktů MPSV k zajištění úsporného čerpání SR na zahraniční spolupráci a soustavná průběžná  kontrola čerpání prostředků SR na provádění mezinárodní spolupráce a zahraničních styků </w:t>
      </w:r>
      <w:r w:rsidRPr="004C7A8C">
        <w:rPr>
          <w:rFonts w:cs="Arial"/>
        </w:rPr>
        <w:br/>
        <w:t>v rámci MPSV,</w:t>
      </w:r>
    </w:p>
    <w:p w14:paraId="5D02E36B" w14:textId="77777777" w:rsidR="00EA052C" w:rsidRPr="006A2C94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</w:pPr>
      <w:r w:rsidRPr="006A2C94">
        <w:rPr>
          <w:rFonts w:cs="Arial"/>
        </w:rPr>
        <w:t xml:space="preserve">v roce 2023 příkazci operace dělali změny v již schváleném PRV převážně </w:t>
      </w:r>
      <w:r w:rsidRPr="006A2C94">
        <w:rPr>
          <w:rFonts w:cs="Arial"/>
        </w:rPr>
        <w:br/>
        <w:t xml:space="preserve">z důvodu úpravy rozpočtu, zejména navyšování/snižování hodnoty PRV dle aktuálních potřeb, </w:t>
      </w:r>
    </w:p>
    <w:p w14:paraId="52DB573D" w14:textId="77777777" w:rsidR="00EA052C" w:rsidRPr="00332200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cs="Arial"/>
        </w:rPr>
      </w:pPr>
      <w:r w:rsidRPr="00332200">
        <w:t>dle vyhodnocených dotazníků v roce 2023 žádal</w:t>
      </w:r>
      <w:r>
        <w:t>o</w:t>
      </w:r>
      <w:r w:rsidRPr="00332200">
        <w:t xml:space="preserve"> o rozpočtovou změnu </w:t>
      </w:r>
      <w:r>
        <w:t xml:space="preserve">66 % </w:t>
      </w:r>
      <w:r w:rsidRPr="00332200">
        <w:t>příkaz</w:t>
      </w:r>
      <w:r>
        <w:t xml:space="preserve">ců </w:t>
      </w:r>
      <w:r w:rsidRPr="00332200">
        <w:t>operace</w:t>
      </w:r>
      <w:r>
        <w:t xml:space="preserve"> </w:t>
      </w:r>
      <w:r w:rsidRPr="00332200">
        <w:rPr>
          <w:rFonts w:cs="Arial"/>
        </w:rPr>
        <w:t xml:space="preserve">(např. za účelem posílení a optimalizace prostředků na platy dle schválené systemizace, realokace finančních prostředků u akcí programového </w:t>
      </w:r>
      <w:r w:rsidRPr="00332200">
        <w:rPr>
          <w:rFonts w:cs="Arial"/>
        </w:rPr>
        <w:lastRenderedPageBreak/>
        <w:t>financování, kdy původní úkol, na který byly finanční prostředky rozpočtovány, byl odsunut nebo nahrazen jiným úkolem, dále došlo k převodu finančních prostředků na odbor 32 na zajištění modernizace elektrické požární signalizace v objektu Na Poříčním právu a na zajištění bezpečnostního systému v objektu Podskalská 19, také byly převedeny  prostředky od organizace UNICEF z příjmového účtu na položky služeb v rámci realizace aktivit projektu UNICEF, převod finančních prostředků na nově vzniklý odbor 26, doúčtování kurzových rozdílů, které účtárna realizovala až v lednu 2024,</w:t>
      </w:r>
    </w:p>
    <w:p w14:paraId="43AE910F" w14:textId="77777777" w:rsidR="00EA052C" w:rsidRPr="00332200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cs="Arial"/>
        </w:rPr>
      </w:pPr>
      <w:r w:rsidRPr="00712618">
        <w:t xml:space="preserve">příkazci operace vrátili PRV k přepracování v jednom případě, </w:t>
      </w:r>
      <w:r w:rsidRPr="00332200">
        <w:t>u došlých odpovědí bylo PRV správcem rozpočtu vráceno ve třech případech</w:t>
      </w:r>
      <w:r>
        <w:t>,</w:t>
      </w:r>
      <w:r w:rsidRPr="00332200">
        <w:t xml:space="preserve"> a to </w:t>
      </w:r>
      <w:r>
        <w:t xml:space="preserve">v jednom případě </w:t>
      </w:r>
      <w:r w:rsidRPr="00332200">
        <w:t>z</w:t>
      </w:r>
      <w:r>
        <w:t> </w:t>
      </w:r>
      <w:r w:rsidRPr="00332200">
        <w:t>důvodu</w:t>
      </w:r>
      <w:r>
        <w:t xml:space="preserve"> nedostatečného odůvodnění PRV, v dalším z důvodu nadhodnocené částky PRV a v posledním případě z důvodu chybného zadání</w:t>
      </w:r>
      <w:r w:rsidRPr="00332200">
        <w:t>.</w:t>
      </w:r>
    </w:p>
    <w:p w14:paraId="1AFFB462" w14:textId="77777777" w:rsidR="00EA052C" w:rsidRPr="00266F52" w:rsidRDefault="00EA052C" w:rsidP="00EA052C">
      <w:pPr>
        <w:autoSpaceDE w:val="0"/>
        <w:autoSpaceDN w:val="0"/>
        <w:adjustRightInd w:val="0"/>
        <w:rPr>
          <w:rFonts w:cs="Arial"/>
          <w:color w:val="FF0000"/>
        </w:rPr>
      </w:pPr>
    </w:p>
    <w:p w14:paraId="5EB7D576" w14:textId="77777777" w:rsidR="00EA052C" w:rsidRPr="00967925" w:rsidRDefault="00EA052C" w:rsidP="00EA052C">
      <w:pPr>
        <w:autoSpaceDE w:val="0"/>
        <w:autoSpaceDN w:val="0"/>
        <w:adjustRightInd w:val="0"/>
        <w:spacing w:after="120"/>
        <w:rPr>
          <w:rFonts w:cs="Arial"/>
          <w:b/>
        </w:rPr>
      </w:pPr>
      <w:r w:rsidRPr="00967925">
        <w:rPr>
          <w:rFonts w:cs="Arial"/>
          <w:b/>
        </w:rPr>
        <w:t>Postřehy dotázaných k nedostatkům v rámci provádění říd</w:t>
      </w:r>
      <w:r>
        <w:rPr>
          <w:rFonts w:cs="Arial"/>
          <w:b/>
        </w:rPr>
        <w:t>i</w:t>
      </w:r>
      <w:r w:rsidRPr="00967925">
        <w:rPr>
          <w:rFonts w:cs="Arial"/>
          <w:b/>
        </w:rPr>
        <w:t>cí kontroly:</w:t>
      </w:r>
    </w:p>
    <w:p w14:paraId="4D85031B" w14:textId="77777777" w:rsidR="00EA052C" w:rsidRPr="00967925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rPr>
          <w:rFonts w:cs="Arial"/>
        </w:rPr>
      </w:pPr>
      <w:r w:rsidRPr="00967925">
        <w:rPr>
          <w:rFonts w:cs="Arial"/>
        </w:rPr>
        <w:t xml:space="preserve">účtárna nepracuje plynule tak, aby bylo možné průběžně sledovat stav čerpání některých rozpočtových položek - značně se zpožďuje zaúčtování nákladů na položce (PRV) Zahraniční pracovní cesty v cizích měnách, což zkresluje představu </w:t>
      </w:r>
      <w:r w:rsidR="00EA1590">
        <w:rPr>
          <w:rFonts w:cs="Arial"/>
        </w:rPr>
        <w:br/>
      </w:r>
      <w:r w:rsidRPr="00967925">
        <w:rPr>
          <w:rFonts w:cs="Arial"/>
        </w:rPr>
        <w:t>o skutečném stavu zůstatku na položce ke konkrétnímu datu a tato situace neumožňuje zodpovědné rozhodování o schvalování dalších zahraničních pracovních cest,</w:t>
      </w:r>
    </w:p>
    <w:p w14:paraId="02D50A97" w14:textId="77777777" w:rsidR="00EA052C" w:rsidRPr="00967925" w:rsidRDefault="00EA052C" w:rsidP="00EA052C">
      <w:pPr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rPr>
          <w:rFonts w:cs="Arial"/>
        </w:rPr>
      </w:pPr>
      <w:r>
        <w:rPr>
          <w:rFonts w:cs="Arial"/>
        </w:rPr>
        <w:t>také</w:t>
      </w:r>
      <w:r w:rsidRPr="00967925">
        <w:rPr>
          <w:rFonts w:cs="Arial"/>
        </w:rPr>
        <w:t xml:space="preserve"> praxe zaúčtování kurzových rozdílů na samém konci kalendářního roku způsobuje komplikace, protože v průběhu roku</w:t>
      </w:r>
      <w:r>
        <w:rPr>
          <w:rFonts w:cs="Arial"/>
        </w:rPr>
        <w:t xml:space="preserve"> příkazce operace</w:t>
      </w:r>
      <w:r w:rsidRPr="00967925">
        <w:rPr>
          <w:rFonts w:cs="Arial"/>
        </w:rPr>
        <w:t xml:space="preserve"> neví</w:t>
      </w:r>
      <w:r>
        <w:rPr>
          <w:rFonts w:cs="Arial"/>
        </w:rPr>
        <w:t>,</w:t>
      </w:r>
      <w:r w:rsidRPr="00967925">
        <w:rPr>
          <w:rFonts w:cs="Arial"/>
        </w:rPr>
        <w:t xml:space="preserve"> jaký objem prostředků má na PRV za účelem doúčtování kurzových rozdílů zůstat (za rok 2023 to bylo cca 300 tis. Kč).</w:t>
      </w:r>
    </w:p>
    <w:p w14:paraId="4203E5EC" w14:textId="77777777" w:rsidR="00F22A28" w:rsidRPr="0024788C" w:rsidRDefault="00F22A28" w:rsidP="00D6734D">
      <w:pPr>
        <w:autoSpaceDE w:val="0"/>
        <w:autoSpaceDN w:val="0"/>
        <w:adjustRightInd w:val="0"/>
        <w:rPr>
          <w:rFonts w:cs="Arial"/>
          <w:highlight w:val="yellow"/>
        </w:rPr>
      </w:pPr>
    </w:p>
    <w:p w14:paraId="2A9868E1" w14:textId="77777777" w:rsidR="00534D75" w:rsidRPr="002173A4" w:rsidRDefault="00A96409" w:rsidP="009277A0">
      <w:pPr>
        <w:pStyle w:val="Nadpis3"/>
      </w:pPr>
      <w:bookmarkStart w:id="11" w:name="_Toc444159011"/>
      <w:bookmarkStart w:id="12" w:name="_Toc160019381"/>
      <w:r w:rsidRPr="002173A4">
        <w:t xml:space="preserve">4.1.3 </w:t>
      </w:r>
      <w:bookmarkEnd w:id="11"/>
      <w:r w:rsidR="001515A3" w:rsidRPr="002173A4">
        <w:t xml:space="preserve">Poznatky </w:t>
      </w:r>
      <w:r w:rsidR="00FC0F61" w:rsidRPr="002173A4">
        <w:t>odboru</w:t>
      </w:r>
      <w:r w:rsidR="00EC7B00" w:rsidRPr="002173A4">
        <w:t xml:space="preserve"> 12</w:t>
      </w:r>
      <w:r w:rsidR="001515A3" w:rsidRPr="002173A4">
        <w:t xml:space="preserve"> z auditní činnosti</w:t>
      </w:r>
      <w:bookmarkEnd w:id="12"/>
      <w:r w:rsidR="001515A3" w:rsidRPr="002173A4">
        <w:t xml:space="preserve"> </w:t>
      </w:r>
    </w:p>
    <w:p w14:paraId="33FC3790" w14:textId="77777777" w:rsidR="007F6A6A" w:rsidRPr="002173A4" w:rsidRDefault="007F6A6A" w:rsidP="00B76118">
      <w:pPr>
        <w:rPr>
          <w:bCs/>
        </w:rPr>
      </w:pPr>
    </w:p>
    <w:p w14:paraId="6DEC4F26" w14:textId="77777777" w:rsidR="00A24C76" w:rsidRPr="002173A4" w:rsidRDefault="00A24C76" w:rsidP="00AD59E8">
      <w:pPr>
        <w:rPr>
          <w:bCs/>
        </w:rPr>
      </w:pPr>
      <w:r w:rsidRPr="002173A4">
        <w:rPr>
          <w:bCs/>
        </w:rPr>
        <w:t>Při výkonu auditní činnosti byly zjištěny tyto obecné nedostatky:</w:t>
      </w:r>
    </w:p>
    <w:p w14:paraId="1DA55BB8" w14:textId="77777777" w:rsidR="00A24C76" w:rsidRPr="002173A4" w:rsidRDefault="00A24C76" w:rsidP="00AD59E8">
      <w:pPr>
        <w:rPr>
          <w:bCs/>
        </w:rPr>
      </w:pPr>
    </w:p>
    <w:p w14:paraId="6BBC5F82" w14:textId="77777777" w:rsidR="001E406C" w:rsidRPr="002173A4" w:rsidRDefault="001E406C" w:rsidP="001E406C">
      <w:pPr>
        <w:pStyle w:val="Odstavecseseznamem"/>
        <w:numPr>
          <w:ilvl w:val="0"/>
          <w:numId w:val="13"/>
        </w:numPr>
        <w:spacing w:after="120"/>
        <w:ind w:left="357" w:hanging="357"/>
        <w:rPr>
          <w:rFonts w:cs="Arial"/>
          <w:b/>
        </w:rPr>
      </w:pPr>
      <w:r w:rsidRPr="002173A4">
        <w:rPr>
          <w:rFonts w:cs="Arial"/>
          <w:b/>
        </w:rPr>
        <w:t>Neaktuální akty řízení na MPSV</w:t>
      </w:r>
    </w:p>
    <w:p w14:paraId="34A8EAE0" w14:textId="77777777" w:rsidR="001E406C" w:rsidRPr="002173A4" w:rsidRDefault="001E406C" w:rsidP="001E406C">
      <w:pPr>
        <w:pStyle w:val="Odstavecseseznamem"/>
        <w:spacing w:after="120"/>
        <w:ind w:left="0"/>
        <w:rPr>
          <w:rFonts w:cs="Arial"/>
        </w:rPr>
      </w:pPr>
      <w:r w:rsidRPr="002173A4">
        <w:rPr>
          <w:rFonts w:cs="Arial"/>
        </w:rPr>
        <w:t>V rámci výkonu auditů v roce 20</w:t>
      </w:r>
      <w:r w:rsidR="002A4DDE" w:rsidRPr="002173A4">
        <w:rPr>
          <w:rFonts w:cs="Arial"/>
        </w:rPr>
        <w:t>2</w:t>
      </w:r>
      <w:r w:rsidR="00EA1590" w:rsidRPr="002173A4">
        <w:rPr>
          <w:rFonts w:cs="Arial"/>
        </w:rPr>
        <w:t>3</w:t>
      </w:r>
      <w:r w:rsidRPr="002173A4">
        <w:rPr>
          <w:rFonts w:cs="Arial"/>
        </w:rPr>
        <w:t xml:space="preserve"> auditoři </w:t>
      </w:r>
      <w:r w:rsidR="00AC326D" w:rsidRPr="002173A4">
        <w:rPr>
          <w:rFonts w:cs="Arial"/>
        </w:rPr>
        <w:t>zjistili</w:t>
      </w:r>
      <w:r w:rsidRPr="002173A4">
        <w:rPr>
          <w:rFonts w:cs="Arial"/>
        </w:rPr>
        <w:t>:</w:t>
      </w:r>
    </w:p>
    <w:p w14:paraId="4F475589" w14:textId="77777777" w:rsidR="001E406C" w:rsidRPr="002173A4" w:rsidRDefault="001E406C" w:rsidP="001E406C">
      <w:pPr>
        <w:pStyle w:val="Odstavecseseznamem"/>
        <w:numPr>
          <w:ilvl w:val="0"/>
          <w:numId w:val="14"/>
        </w:numPr>
        <w:spacing w:after="120"/>
        <w:ind w:left="284" w:hanging="284"/>
        <w:rPr>
          <w:rFonts w:cs="Arial"/>
        </w:rPr>
      </w:pPr>
      <w:r w:rsidRPr="002173A4">
        <w:rPr>
          <w:rFonts w:cs="Arial"/>
        </w:rPr>
        <w:t xml:space="preserve">neaktuálnost vnitřních řídících aktů z důvodu organizačních změn, </w:t>
      </w:r>
    </w:p>
    <w:p w14:paraId="7EA95184" w14:textId="77777777" w:rsidR="00611D7C" w:rsidRPr="002173A4" w:rsidRDefault="00611D7C" w:rsidP="001E406C">
      <w:pPr>
        <w:pStyle w:val="Odstavecseseznamem"/>
        <w:numPr>
          <w:ilvl w:val="0"/>
          <w:numId w:val="14"/>
        </w:numPr>
        <w:spacing w:after="120"/>
        <w:ind w:left="284" w:hanging="284"/>
        <w:rPr>
          <w:rFonts w:cs="Arial"/>
        </w:rPr>
      </w:pPr>
      <w:r w:rsidRPr="002173A4">
        <w:rPr>
          <w:rFonts w:cs="Arial"/>
        </w:rPr>
        <w:t xml:space="preserve">absenci pravidelné aktualizace vnitřních řídících aktů (některé ošetřovaly již neexistující proces, což </w:t>
      </w:r>
      <w:r w:rsidR="00A24C76" w:rsidRPr="002173A4">
        <w:rPr>
          <w:rFonts w:cs="Arial"/>
        </w:rPr>
        <w:t>je</w:t>
      </w:r>
      <w:r w:rsidRPr="002173A4">
        <w:rPr>
          <w:rFonts w:cs="Arial"/>
        </w:rPr>
        <w:t xml:space="preserve"> způsobeno i absencí procesní mapy na MPSV), </w:t>
      </w:r>
    </w:p>
    <w:p w14:paraId="40A9329C" w14:textId="77777777" w:rsidR="00910FFA" w:rsidRPr="002173A4" w:rsidRDefault="001E406C" w:rsidP="00C40B0D">
      <w:pPr>
        <w:pStyle w:val="Odstavecseseznamem"/>
        <w:numPr>
          <w:ilvl w:val="0"/>
          <w:numId w:val="14"/>
        </w:numPr>
        <w:spacing w:after="120"/>
        <w:ind w:left="284" w:hanging="284"/>
        <w:rPr>
          <w:rFonts w:cs="Arial"/>
        </w:rPr>
      </w:pPr>
      <w:r w:rsidRPr="002173A4">
        <w:rPr>
          <w:rFonts w:cs="Arial"/>
        </w:rPr>
        <w:t>neprovedené úpravy ve vykonávaných činnostech a odchylk</w:t>
      </w:r>
      <w:r w:rsidR="002B4F38" w:rsidRPr="002173A4">
        <w:rPr>
          <w:rFonts w:cs="Arial"/>
        </w:rPr>
        <w:t>y</w:t>
      </w:r>
      <w:r w:rsidRPr="002173A4">
        <w:rPr>
          <w:rFonts w:cs="Arial"/>
        </w:rPr>
        <w:t xml:space="preserve"> od skutečně vykonávané práce</w:t>
      </w:r>
      <w:r w:rsidR="00611D7C" w:rsidRPr="002173A4">
        <w:rPr>
          <w:rFonts w:cs="Arial"/>
        </w:rPr>
        <w:t>.</w:t>
      </w:r>
    </w:p>
    <w:p w14:paraId="360755AD" w14:textId="77777777" w:rsidR="00CE0410" w:rsidRPr="002173A4" w:rsidRDefault="001E406C" w:rsidP="00C917E4">
      <w:pPr>
        <w:pStyle w:val="Odstavecseseznamem"/>
        <w:numPr>
          <w:ilvl w:val="0"/>
          <w:numId w:val="13"/>
        </w:numPr>
        <w:spacing w:after="120"/>
        <w:ind w:left="357" w:hanging="357"/>
        <w:rPr>
          <w:rFonts w:cs="Arial"/>
          <w:b/>
        </w:rPr>
      </w:pPr>
      <w:r w:rsidRPr="002173A4">
        <w:rPr>
          <w:rFonts w:cs="Arial"/>
          <w:b/>
        </w:rPr>
        <w:t>Nedostatečné kontrolní mechanismy v nastavení a dodržování řídící kontroly na útvarech MPSV</w:t>
      </w:r>
    </w:p>
    <w:p w14:paraId="526EA0DE" w14:textId="77777777" w:rsidR="006B542E" w:rsidRPr="002173A4" w:rsidRDefault="006B542E" w:rsidP="00EC002F">
      <w:pPr>
        <w:pStyle w:val="Odstavecseseznamem"/>
        <w:numPr>
          <w:ilvl w:val="0"/>
          <w:numId w:val="13"/>
        </w:numPr>
        <w:spacing w:after="120"/>
        <w:ind w:left="357" w:hanging="357"/>
        <w:jc w:val="left"/>
        <w:rPr>
          <w:rFonts w:cs="Arial"/>
          <w:b/>
        </w:rPr>
      </w:pPr>
      <w:r w:rsidRPr="002173A4">
        <w:rPr>
          <w:rFonts w:cs="Arial"/>
          <w:b/>
        </w:rPr>
        <w:t>Nedodržování zákona č. 499/2004 Sb., o archivnictví a spisové službě</w:t>
      </w:r>
      <w:r w:rsidR="00886AE8" w:rsidRPr="002173A4">
        <w:rPr>
          <w:rFonts w:cs="Arial"/>
          <w:b/>
        </w:rPr>
        <w:t xml:space="preserve"> a o změně některých zákonů, ve znění pozdějších předpisů</w:t>
      </w:r>
    </w:p>
    <w:p w14:paraId="791E4860" w14:textId="77777777" w:rsidR="006B542E" w:rsidRDefault="007B07E8" w:rsidP="006B542E">
      <w:pPr>
        <w:pStyle w:val="Odstavecseseznamem"/>
        <w:spacing w:after="120"/>
        <w:ind w:left="0"/>
        <w:contextualSpacing/>
        <w:rPr>
          <w:rFonts w:cs="Arial"/>
        </w:rPr>
      </w:pPr>
      <w:r w:rsidRPr="002173A4">
        <w:rPr>
          <w:rFonts w:cs="Arial"/>
        </w:rPr>
        <w:t xml:space="preserve">Nadále </w:t>
      </w:r>
      <w:r w:rsidR="00603AD5" w:rsidRPr="002173A4">
        <w:rPr>
          <w:rFonts w:cs="Arial"/>
        </w:rPr>
        <w:t>přetrvává</w:t>
      </w:r>
      <w:r w:rsidRPr="002173A4">
        <w:rPr>
          <w:rFonts w:cs="Arial"/>
        </w:rPr>
        <w:t xml:space="preserve"> stav, </w:t>
      </w:r>
      <w:r w:rsidR="00603AD5" w:rsidRPr="002173A4">
        <w:rPr>
          <w:rFonts w:cs="Arial"/>
        </w:rPr>
        <w:t>kdy</w:t>
      </w:r>
      <w:r w:rsidRPr="002173A4">
        <w:rPr>
          <w:rFonts w:cs="Arial"/>
        </w:rPr>
        <w:t xml:space="preserve"> o</w:t>
      </w:r>
      <w:r w:rsidR="006B542E" w:rsidRPr="002173A4">
        <w:rPr>
          <w:rFonts w:cs="Arial"/>
        </w:rPr>
        <w:t xml:space="preserve">značování a evidence dokumentů a vedení spisů není </w:t>
      </w:r>
      <w:r w:rsidR="006651D2" w:rsidRPr="002173A4">
        <w:rPr>
          <w:rFonts w:cs="Arial"/>
        </w:rPr>
        <w:br w:type="textWrapping" w:clear="all"/>
      </w:r>
      <w:r w:rsidR="006B542E" w:rsidRPr="002173A4">
        <w:rPr>
          <w:rFonts w:cs="Arial"/>
        </w:rPr>
        <w:t>v</w:t>
      </w:r>
      <w:r w:rsidR="006651D2" w:rsidRPr="002173A4">
        <w:rPr>
          <w:rFonts w:cs="Arial"/>
        </w:rPr>
        <w:t xml:space="preserve"> </w:t>
      </w:r>
      <w:r w:rsidR="006B542E" w:rsidRPr="002173A4">
        <w:rPr>
          <w:rFonts w:cs="Arial"/>
        </w:rPr>
        <w:t>souladu</w:t>
      </w:r>
      <w:r w:rsidR="006651D2" w:rsidRPr="002173A4">
        <w:rPr>
          <w:rFonts w:cs="Arial"/>
        </w:rPr>
        <w:t xml:space="preserve"> </w:t>
      </w:r>
      <w:r w:rsidR="006B542E" w:rsidRPr="002173A4">
        <w:rPr>
          <w:rFonts w:cs="Arial"/>
        </w:rPr>
        <w:t>s</w:t>
      </w:r>
      <w:r w:rsidR="006651D2" w:rsidRPr="002173A4">
        <w:rPr>
          <w:rFonts w:cs="Arial"/>
        </w:rPr>
        <w:t xml:space="preserve"> </w:t>
      </w:r>
      <w:r w:rsidR="00886AE8" w:rsidRPr="002173A4">
        <w:rPr>
          <w:rFonts w:cs="Arial"/>
        </w:rPr>
        <w:t xml:space="preserve">uvedeným </w:t>
      </w:r>
      <w:r w:rsidR="006B542E" w:rsidRPr="002173A4">
        <w:rPr>
          <w:rFonts w:cs="Arial"/>
        </w:rPr>
        <w:t>zákonem, vyhláškou č. 259/2012 Sb.,</w:t>
      </w:r>
      <w:r w:rsidR="00886AE8" w:rsidRPr="002173A4">
        <w:rPr>
          <w:rFonts w:cs="Arial"/>
        </w:rPr>
        <w:t xml:space="preserve"> </w:t>
      </w:r>
      <w:r w:rsidR="006B542E" w:rsidRPr="002173A4">
        <w:rPr>
          <w:rFonts w:cs="Arial"/>
        </w:rPr>
        <w:t>o</w:t>
      </w:r>
      <w:r w:rsidR="006651D2" w:rsidRPr="002173A4">
        <w:rPr>
          <w:rFonts w:cs="Arial"/>
        </w:rPr>
        <w:t xml:space="preserve"> </w:t>
      </w:r>
      <w:r w:rsidR="006B542E" w:rsidRPr="002173A4">
        <w:rPr>
          <w:rFonts w:cs="Arial"/>
        </w:rPr>
        <w:t xml:space="preserve">podrobnostech výkonu spisové služby, a </w:t>
      </w:r>
      <w:r w:rsidR="00A63992">
        <w:rPr>
          <w:rFonts w:cs="Arial"/>
        </w:rPr>
        <w:t>PM</w:t>
      </w:r>
      <w:r w:rsidR="006B542E" w:rsidRPr="002173A4">
        <w:rPr>
          <w:rFonts w:cs="Arial"/>
        </w:rPr>
        <w:t xml:space="preserve"> č. 15/2016 Spisový a</w:t>
      </w:r>
      <w:r w:rsidR="00886AE8" w:rsidRPr="002173A4">
        <w:rPr>
          <w:rFonts w:cs="Arial"/>
        </w:rPr>
        <w:t> </w:t>
      </w:r>
      <w:r w:rsidR="006B542E" w:rsidRPr="002173A4">
        <w:rPr>
          <w:rFonts w:cs="Arial"/>
        </w:rPr>
        <w:t>skartační řád. Současně se neprovádí dostatečná kontrola</w:t>
      </w:r>
      <w:r w:rsidR="006651D2" w:rsidRPr="002173A4">
        <w:rPr>
          <w:rFonts w:cs="Arial"/>
        </w:rPr>
        <w:t xml:space="preserve"> </w:t>
      </w:r>
      <w:r w:rsidR="006B542E" w:rsidRPr="002173A4">
        <w:rPr>
          <w:rFonts w:cs="Arial"/>
        </w:rPr>
        <w:t>dodržování</w:t>
      </w:r>
      <w:r w:rsidR="006651D2" w:rsidRPr="002173A4">
        <w:rPr>
          <w:rFonts w:cs="Arial"/>
        </w:rPr>
        <w:t xml:space="preserve"> </w:t>
      </w:r>
      <w:r w:rsidR="006B542E" w:rsidRPr="002173A4">
        <w:rPr>
          <w:rFonts w:cs="Arial"/>
        </w:rPr>
        <w:t>nastaveného</w:t>
      </w:r>
      <w:r w:rsidR="006651D2" w:rsidRPr="002173A4">
        <w:rPr>
          <w:rFonts w:cs="Arial"/>
        </w:rPr>
        <w:t xml:space="preserve"> </w:t>
      </w:r>
      <w:r w:rsidR="006B542E" w:rsidRPr="002173A4">
        <w:rPr>
          <w:rFonts w:cs="Arial"/>
        </w:rPr>
        <w:t>spisového a</w:t>
      </w:r>
      <w:r w:rsidR="00791A4F" w:rsidRPr="002173A4">
        <w:rPr>
          <w:rFonts w:cs="Arial"/>
        </w:rPr>
        <w:t xml:space="preserve"> </w:t>
      </w:r>
      <w:r w:rsidR="006B542E" w:rsidRPr="002173A4">
        <w:rPr>
          <w:rFonts w:cs="Arial"/>
        </w:rPr>
        <w:t>skartačního řádu.</w:t>
      </w:r>
    </w:p>
    <w:p w14:paraId="19CB8203" w14:textId="77777777" w:rsidR="00A67CE3" w:rsidRDefault="00A67CE3" w:rsidP="006B542E">
      <w:pPr>
        <w:pStyle w:val="Odstavecseseznamem"/>
        <w:spacing w:after="120"/>
        <w:ind w:left="0"/>
        <w:contextualSpacing/>
        <w:rPr>
          <w:rFonts w:cs="Arial"/>
        </w:rPr>
      </w:pPr>
    </w:p>
    <w:p w14:paraId="2F477FBD" w14:textId="77777777" w:rsidR="006B542E" w:rsidRDefault="006B542E" w:rsidP="006B542E">
      <w:pPr>
        <w:pStyle w:val="Odstavecseseznamem"/>
        <w:spacing w:after="120"/>
        <w:ind w:left="0"/>
        <w:contextualSpacing/>
        <w:jc w:val="left"/>
        <w:rPr>
          <w:rFonts w:cs="Arial"/>
          <w:highlight w:val="yellow"/>
        </w:rPr>
      </w:pPr>
    </w:p>
    <w:p w14:paraId="64FC368C" w14:textId="77777777" w:rsidR="00FF5FCC" w:rsidRPr="00207545" w:rsidRDefault="00186EFE" w:rsidP="00186EFE">
      <w:pPr>
        <w:pStyle w:val="Nadpis2"/>
        <w:numPr>
          <w:ilvl w:val="0"/>
          <w:numId w:val="0"/>
        </w:numPr>
      </w:pPr>
      <w:bookmarkStart w:id="13" w:name="_Toc160019382"/>
      <w:r>
        <w:lastRenderedPageBreak/>
        <w:t xml:space="preserve">4.2 </w:t>
      </w:r>
      <w:r w:rsidR="00FF5FCC" w:rsidRPr="00207545">
        <w:t>Vyhodnocení podle § 31 odst. 3 písm. b) zákona o finanční kontrole</w:t>
      </w:r>
      <w:bookmarkEnd w:id="13"/>
    </w:p>
    <w:p w14:paraId="3AC57E3D" w14:textId="77777777" w:rsidR="00671471" w:rsidRDefault="00671471" w:rsidP="00671471">
      <w:pPr>
        <w:pStyle w:val="Zkladntext"/>
        <w:jc w:val="both"/>
        <w:rPr>
          <w:rFonts w:cs="Arial"/>
          <w:bCs w:val="0"/>
          <w:sz w:val="28"/>
          <w:szCs w:val="28"/>
          <w:lang w:val="cs-CZ"/>
        </w:rPr>
      </w:pPr>
    </w:p>
    <w:p w14:paraId="4588BAC8" w14:textId="77777777" w:rsidR="007C54D4" w:rsidRPr="00207545" w:rsidRDefault="00671471" w:rsidP="00671471">
      <w:pPr>
        <w:pStyle w:val="Nadpis3"/>
      </w:pPr>
      <w:bookmarkStart w:id="14" w:name="_Toc160019383"/>
      <w:r>
        <w:t xml:space="preserve">4.2.1 </w:t>
      </w:r>
      <w:r w:rsidR="00AD593D" w:rsidRPr="00207545">
        <w:t>Audity provedené</w:t>
      </w:r>
      <w:r w:rsidR="007C54D4" w:rsidRPr="00207545">
        <w:t xml:space="preserve"> Auditní</w:t>
      </w:r>
      <w:r w:rsidR="00AD593D" w:rsidRPr="00207545">
        <w:t>m</w:t>
      </w:r>
      <w:r w:rsidR="007C54D4" w:rsidRPr="00207545">
        <w:t xml:space="preserve"> orgán</w:t>
      </w:r>
      <w:r w:rsidR="00AD593D" w:rsidRPr="00207545">
        <w:t>em</w:t>
      </w:r>
      <w:r w:rsidR="007C54D4" w:rsidRPr="00207545">
        <w:t xml:space="preserve"> pro OP PMP</w:t>
      </w:r>
      <w:bookmarkEnd w:id="14"/>
    </w:p>
    <w:p w14:paraId="29727595" w14:textId="77777777" w:rsidR="00062167" w:rsidRPr="00207545" w:rsidRDefault="00062167" w:rsidP="00062167">
      <w:pPr>
        <w:pStyle w:val="Zkladntext"/>
        <w:jc w:val="both"/>
        <w:rPr>
          <w:rFonts w:cs="Arial"/>
          <w:bCs w:val="0"/>
          <w:sz w:val="28"/>
          <w:szCs w:val="28"/>
        </w:rPr>
      </w:pPr>
    </w:p>
    <w:p w14:paraId="27159053" w14:textId="77777777" w:rsidR="00062167" w:rsidRDefault="00062167" w:rsidP="00062167">
      <w:r w:rsidRPr="00207545">
        <w:t xml:space="preserve">Základní oprávnění k provádění auditní činnosti Auditního orgánu pro OP PMP vychází </w:t>
      </w:r>
      <w:r w:rsidR="00B520B3" w:rsidRPr="00207545">
        <w:br w:type="textWrapping" w:clear="all"/>
      </w:r>
      <w:r w:rsidRPr="00207545">
        <w:t>z</w:t>
      </w:r>
      <w:r w:rsidR="006651D2" w:rsidRPr="00207545">
        <w:t xml:space="preserve"> </w:t>
      </w:r>
      <w:r w:rsidRPr="00207545">
        <w:t xml:space="preserve">čl. 34 nařízení </w:t>
      </w:r>
      <w:r w:rsidR="009C149A" w:rsidRPr="00207545">
        <w:t xml:space="preserve">EU </w:t>
      </w:r>
      <w:r w:rsidRPr="00207545">
        <w:t>č. 223/2014, kde je upraveno, že Auditní orgán provádí audity řádného fungování systému řízení a kontroly operačního programu a audity vhodného vzorku operací na základě vykázaných výdajů.</w:t>
      </w:r>
      <w:r w:rsidR="00C75918" w:rsidRPr="00207545">
        <w:t xml:space="preserve"> </w:t>
      </w:r>
      <w:r w:rsidRPr="00207545">
        <w:t>Procesní pravidla jsou zakotvena v § 13a zákona</w:t>
      </w:r>
      <w:r w:rsidR="006651D2" w:rsidRPr="00207545">
        <w:t xml:space="preserve"> </w:t>
      </w:r>
      <w:r w:rsidRPr="00207545">
        <w:t>o finanční kontrole (s</w:t>
      </w:r>
      <w:r w:rsidR="006651D2" w:rsidRPr="00207545">
        <w:t xml:space="preserve"> </w:t>
      </w:r>
      <w:r w:rsidRPr="00207545">
        <w:t>určitými výjimkami se postupuje dle zákona č.</w:t>
      </w:r>
      <w:r w:rsidR="006651D2" w:rsidRPr="00207545">
        <w:t xml:space="preserve"> </w:t>
      </w:r>
      <w:r w:rsidRPr="00207545">
        <w:t>255/2012 Sb., o</w:t>
      </w:r>
      <w:r w:rsidR="006651D2" w:rsidRPr="00207545">
        <w:t xml:space="preserve"> </w:t>
      </w:r>
      <w:r w:rsidRPr="00207545">
        <w:t>kontrole</w:t>
      </w:r>
      <w:r w:rsidR="00CD516B">
        <w:t xml:space="preserve">, ve znění </w:t>
      </w:r>
      <w:r w:rsidR="00E241AC">
        <w:t>pozdějších předpisů</w:t>
      </w:r>
      <w:r w:rsidRPr="00207545">
        <w:t>), proto</w:t>
      </w:r>
      <w:r w:rsidR="00C75918" w:rsidRPr="00207545">
        <w:t xml:space="preserve"> i činnost A</w:t>
      </w:r>
      <w:r w:rsidR="009C149A" w:rsidRPr="00207545">
        <w:t>uditního orgánu</w:t>
      </w:r>
      <w:r w:rsidR="00C75918" w:rsidRPr="00207545">
        <w:t xml:space="preserve"> je vyhodnocena dle </w:t>
      </w:r>
      <w:r w:rsidR="00C75918" w:rsidRPr="00207545">
        <w:rPr>
          <w:rFonts w:cs="Arial"/>
          <w:bCs/>
        </w:rPr>
        <w:t>§ 31 odst. 3 písm. b) zákona o finanční kontrole</w:t>
      </w:r>
      <w:r w:rsidRPr="00207545">
        <w:t>.</w:t>
      </w:r>
      <w:r w:rsidR="00181E6A">
        <w:t xml:space="preserve"> Audit č. 4/2023/AO byl vykonán auditorem KB.</w:t>
      </w:r>
    </w:p>
    <w:p w14:paraId="014E86AA" w14:textId="77777777" w:rsidR="00EA1590" w:rsidRDefault="00EA1590" w:rsidP="000621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3C6D" w14:paraId="4675E4B6" w14:textId="77777777" w:rsidTr="006F5664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3C90D850" w14:textId="77777777" w:rsidR="001D3C6D" w:rsidRPr="001D3C6D" w:rsidRDefault="001D3C6D" w:rsidP="00F67372">
            <w:pPr>
              <w:rPr>
                <w:b/>
                <w:bCs/>
                <w:sz w:val="22"/>
                <w:szCs w:val="22"/>
              </w:rPr>
            </w:pPr>
            <w:bookmarkStart w:id="15" w:name="_Hlk159918890"/>
            <w:r w:rsidRPr="001D3C6D">
              <w:rPr>
                <w:rFonts w:cs="Arial"/>
                <w:b/>
                <w:bCs/>
                <w:sz w:val="22"/>
                <w:szCs w:val="22"/>
              </w:rPr>
              <w:t>1/202</w:t>
            </w:r>
            <w:r w:rsidR="0024788C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1D3C6D">
              <w:rPr>
                <w:rFonts w:cs="Arial"/>
                <w:b/>
                <w:bCs/>
                <w:sz w:val="22"/>
                <w:szCs w:val="22"/>
              </w:rPr>
              <w:t>/AO</w:t>
            </w:r>
          </w:p>
          <w:p w14:paraId="1BC74384" w14:textId="77777777" w:rsidR="001D3C6D" w:rsidRPr="006644A7" w:rsidRDefault="001D3C6D" w:rsidP="00F67372">
            <w:pPr>
              <w:rPr>
                <w:sz w:val="22"/>
                <w:szCs w:val="22"/>
              </w:rPr>
            </w:pPr>
            <w:r w:rsidRPr="006644A7">
              <w:rPr>
                <w:rFonts w:cs="Arial"/>
                <w:sz w:val="22"/>
                <w:szCs w:val="22"/>
              </w:rPr>
              <w:t>Audit účetní závěrky O</w:t>
            </w:r>
            <w:r w:rsidR="002576A3">
              <w:rPr>
                <w:rFonts w:cs="Arial"/>
                <w:sz w:val="22"/>
                <w:szCs w:val="22"/>
              </w:rPr>
              <w:t>P PMP</w:t>
            </w:r>
          </w:p>
        </w:tc>
      </w:tr>
      <w:tr w:rsidR="001D3C6D" w14:paraId="0046B93A" w14:textId="77777777" w:rsidTr="006F5664">
        <w:tc>
          <w:tcPr>
            <w:tcW w:w="9747" w:type="dxa"/>
            <w:shd w:val="clear" w:color="auto" w:fill="auto"/>
            <w:vAlign w:val="center"/>
          </w:tcPr>
          <w:p w14:paraId="33D3F814" w14:textId="77777777" w:rsidR="001D3C6D" w:rsidRPr="00356D4B" w:rsidRDefault="001D3C6D" w:rsidP="00F67372">
            <w:pPr>
              <w:rPr>
                <w:b/>
                <w:bCs/>
                <w:sz w:val="22"/>
                <w:szCs w:val="22"/>
              </w:rPr>
            </w:pPr>
            <w:r w:rsidRPr="00356D4B">
              <w:rPr>
                <w:rFonts w:cs="Arial"/>
                <w:b/>
                <w:bCs/>
                <w:sz w:val="22"/>
                <w:szCs w:val="22"/>
              </w:rPr>
              <w:t>2/202</w:t>
            </w:r>
            <w:r w:rsidR="0024788C" w:rsidRPr="00356D4B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356D4B">
              <w:rPr>
                <w:rFonts w:cs="Arial"/>
                <w:b/>
                <w:bCs/>
                <w:sz w:val="22"/>
                <w:szCs w:val="22"/>
              </w:rPr>
              <w:t>/AO</w:t>
            </w:r>
          </w:p>
          <w:p w14:paraId="65E0E890" w14:textId="77777777" w:rsidR="001D3C6D" w:rsidRPr="0024788C" w:rsidRDefault="001D3C6D" w:rsidP="00356D4B">
            <w:pPr>
              <w:rPr>
                <w:sz w:val="22"/>
                <w:szCs w:val="22"/>
                <w:highlight w:val="yellow"/>
              </w:rPr>
            </w:pPr>
            <w:r w:rsidRPr="00356D4B">
              <w:rPr>
                <w:rFonts w:cs="Arial"/>
                <w:sz w:val="22"/>
                <w:szCs w:val="22"/>
              </w:rPr>
              <w:t xml:space="preserve">Audit projektu č. CZ.30.X.X/0.0/0.0/16_004/0000008 „Potravinová a materiální pomoc nejchudším osobám </w:t>
            </w:r>
            <w:r w:rsidR="000F769E" w:rsidRPr="00356D4B">
              <w:rPr>
                <w:rFonts w:cs="Arial"/>
                <w:sz w:val="22"/>
                <w:szCs w:val="22"/>
              </w:rPr>
              <w:t>II“</w:t>
            </w:r>
          </w:p>
        </w:tc>
      </w:tr>
      <w:tr w:rsidR="001D3C6D" w14:paraId="133B2911" w14:textId="77777777" w:rsidTr="006F5664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343CA28A" w14:textId="77777777" w:rsidR="001D3C6D" w:rsidRPr="00181E6A" w:rsidRDefault="001D3C6D" w:rsidP="00F67372">
            <w:pPr>
              <w:rPr>
                <w:b/>
                <w:bCs/>
                <w:sz w:val="22"/>
                <w:szCs w:val="22"/>
              </w:rPr>
            </w:pPr>
            <w:r w:rsidRPr="00181E6A">
              <w:rPr>
                <w:rFonts w:cs="Arial"/>
                <w:b/>
                <w:bCs/>
                <w:sz w:val="22"/>
                <w:szCs w:val="22"/>
              </w:rPr>
              <w:t>3/202</w:t>
            </w:r>
            <w:r w:rsidR="0024788C" w:rsidRPr="00181E6A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181E6A">
              <w:rPr>
                <w:rFonts w:cs="Arial"/>
                <w:b/>
                <w:bCs/>
                <w:sz w:val="22"/>
                <w:szCs w:val="22"/>
              </w:rPr>
              <w:t>/AO</w:t>
            </w:r>
          </w:p>
          <w:p w14:paraId="15345204" w14:textId="77777777" w:rsidR="001D3C6D" w:rsidRPr="0024788C" w:rsidRDefault="00356D4B" w:rsidP="00356D4B">
            <w:pPr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</w:rPr>
              <w:t xml:space="preserve">Audit projektu </w:t>
            </w:r>
            <w:r w:rsidRPr="00356D4B">
              <w:rPr>
                <w:rFonts w:cs="Arial"/>
                <w:sz w:val="22"/>
                <w:szCs w:val="22"/>
              </w:rPr>
              <w:t>CZ.30.X.0/0.0/0.0/20_010/0000049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56D4B">
              <w:rPr>
                <w:rFonts w:cs="Arial"/>
                <w:sz w:val="22"/>
                <w:szCs w:val="22"/>
              </w:rPr>
              <w:t>„Potravinová pomoc dětem ve vážné sociální nouzi v Pardubickém kraji II“</w:t>
            </w:r>
          </w:p>
        </w:tc>
      </w:tr>
      <w:tr w:rsidR="001D3C6D" w14:paraId="0C8C6F52" w14:textId="77777777" w:rsidTr="006F5664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5FA31AD6" w14:textId="77777777" w:rsidR="001D3C6D" w:rsidRPr="00181E6A" w:rsidRDefault="001D3C6D" w:rsidP="00F67372">
            <w:pPr>
              <w:rPr>
                <w:b/>
                <w:bCs/>
                <w:sz w:val="22"/>
                <w:szCs w:val="22"/>
              </w:rPr>
            </w:pPr>
            <w:r w:rsidRPr="00181E6A">
              <w:rPr>
                <w:rFonts w:cs="Arial"/>
                <w:b/>
                <w:bCs/>
                <w:sz w:val="22"/>
                <w:szCs w:val="22"/>
              </w:rPr>
              <w:t>4/202</w:t>
            </w:r>
            <w:r w:rsidR="0024788C" w:rsidRPr="00181E6A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181E6A">
              <w:rPr>
                <w:rFonts w:cs="Arial"/>
                <w:b/>
                <w:bCs/>
                <w:sz w:val="22"/>
                <w:szCs w:val="22"/>
              </w:rPr>
              <w:t>/AO</w:t>
            </w:r>
          </w:p>
          <w:p w14:paraId="0F495D49" w14:textId="77777777" w:rsidR="001D3C6D" w:rsidRPr="0024788C" w:rsidRDefault="00181E6A" w:rsidP="00181E6A">
            <w:pPr>
              <w:rPr>
                <w:rFonts w:cs="Arial"/>
                <w:sz w:val="22"/>
                <w:szCs w:val="22"/>
                <w:highlight w:val="yellow"/>
              </w:rPr>
            </w:pPr>
            <w:r w:rsidRPr="00181E6A">
              <w:rPr>
                <w:rFonts w:cs="Arial"/>
                <w:sz w:val="22"/>
                <w:szCs w:val="22"/>
              </w:rPr>
              <w:t>Audit projektu využití finančních prostředků technické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81E6A">
              <w:rPr>
                <w:rFonts w:cs="Arial"/>
                <w:sz w:val="22"/>
                <w:szCs w:val="22"/>
              </w:rPr>
              <w:t>pomoci OP PMP</w:t>
            </w:r>
          </w:p>
        </w:tc>
      </w:tr>
      <w:tr w:rsidR="001D3C6D" w14:paraId="7A7D4ADE" w14:textId="77777777" w:rsidTr="006F5664">
        <w:trPr>
          <w:trHeight w:val="56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7604E" w14:textId="77777777" w:rsidR="001D3C6D" w:rsidRPr="001D3C6D" w:rsidRDefault="001D3C6D" w:rsidP="00F6737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D3C6D">
              <w:rPr>
                <w:rFonts w:cs="Arial"/>
                <w:b/>
                <w:bCs/>
                <w:sz w:val="22"/>
                <w:szCs w:val="22"/>
              </w:rPr>
              <w:t>5/2022</w:t>
            </w:r>
            <w:r w:rsidR="0024788C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1D3C6D">
              <w:rPr>
                <w:rFonts w:cs="Arial"/>
                <w:b/>
                <w:bCs/>
                <w:sz w:val="22"/>
                <w:szCs w:val="22"/>
              </w:rPr>
              <w:t>/AO</w:t>
            </w:r>
          </w:p>
          <w:p w14:paraId="045636B4" w14:textId="77777777" w:rsidR="001D3C6D" w:rsidRPr="001D3C6D" w:rsidRDefault="001D3C6D" w:rsidP="00F67372">
            <w:pPr>
              <w:rPr>
                <w:rFonts w:cs="Arial"/>
                <w:sz w:val="22"/>
                <w:szCs w:val="22"/>
              </w:rPr>
            </w:pPr>
            <w:r w:rsidRPr="006644A7">
              <w:rPr>
                <w:rFonts w:cs="Arial"/>
                <w:sz w:val="22"/>
                <w:szCs w:val="22"/>
              </w:rPr>
              <w:t>Operační</w:t>
            </w:r>
            <w:r>
              <w:rPr>
                <w:rFonts w:cs="Arial"/>
                <w:sz w:val="22"/>
                <w:szCs w:val="22"/>
              </w:rPr>
              <w:t> </w:t>
            </w:r>
            <w:r w:rsidRPr="006644A7">
              <w:rPr>
                <w:rFonts w:cs="Arial"/>
                <w:sz w:val="22"/>
                <w:szCs w:val="22"/>
              </w:rPr>
              <w:t>program</w:t>
            </w:r>
            <w:r>
              <w:rPr>
                <w:rFonts w:cs="Arial"/>
                <w:sz w:val="22"/>
                <w:szCs w:val="22"/>
              </w:rPr>
              <w:t> </w:t>
            </w:r>
            <w:r w:rsidRPr="006644A7">
              <w:rPr>
                <w:rFonts w:cs="Arial"/>
                <w:sz w:val="22"/>
                <w:szCs w:val="22"/>
              </w:rPr>
              <w:t>potravinové a materiální pomoc</w:t>
            </w:r>
            <w:r w:rsidR="000F769E">
              <w:rPr>
                <w:rFonts w:cs="Arial"/>
                <w:sz w:val="22"/>
                <w:szCs w:val="22"/>
              </w:rPr>
              <w:t>i na MPSV</w:t>
            </w:r>
          </w:p>
        </w:tc>
      </w:tr>
      <w:tr w:rsidR="001D3C6D" w:rsidRPr="001D3C6D" w14:paraId="378E578A" w14:textId="77777777" w:rsidTr="006F5664">
        <w:trPr>
          <w:trHeight w:val="567"/>
        </w:trPr>
        <w:tc>
          <w:tcPr>
            <w:tcW w:w="9747" w:type="dxa"/>
            <w:shd w:val="clear" w:color="auto" w:fill="D9E2F3"/>
            <w:vAlign w:val="center"/>
          </w:tcPr>
          <w:p w14:paraId="33AE0F51" w14:textId="77777777" w:rsidR="001D3C6D" w:rsidRPr="001D3C6D" w:rsidRDefault="001D3C6D" w:rsidP="00F6737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Audity byly bez zjištění.</w:t>
            </w:r>
          </w:p>
        </w:tc>
      </w:tr>
      <w:bookmarkEnd w:id="15"/>
    </w:tbl>
    <w:p w14:paraId="6AC11D0D" w14:textId="77777777" w:rsidR="00F67372" w:rsidRDefault="00F67372" w:rsidP="00062167"/>
    <w:p w14:paraId="0D846659" w14:textId="77777777" w:rsidR="00DA28B4" w:rsidRDefault="00DA28B4" w:rsidP="00EA1590">
      <w:pPr>
        <w:pStyle w:val="Nadpis3"/>
      </w:pPr>
    </w:p>
    <w:p w14:paraId="2B572A04" w14:textId="77777777" w:rsidR="00EA1590" w:rsidRPr="00207545" w:rsidRDefault="00EA1590" w:rsidP="00EA1590">
      <w:pPr>
        <w:pStyle w:val="Nadpis3"/>
      </w:pPr>
      <w:bookmarkStart w:id="16" w:name="_Toc160019384"/>
      <w:r>
        <w:t>4.2.2 Audity KB</w:t>
      </w:r>
      <w:bookmarkEnd w:id="16"/>
    </w:p>
    <w:p w14:paraId="49F3B272" w14:textId="77777777" w:rsidR="00671471" w:rsidRDefault="00671471" w:rsidP="00671471">
      <w:pPr>
        <w:pStyle w:val="Nadpis3"/>
      </w:pPr>
    </w:p>
    <w:p w14:paraId="251194D6" w14:textId="530DCBB2" w:rsidR="00EA1590" w:rsidRDefault="006F5664" w:rsidP="00EA1590">
      <w:pPr>
        <w:rPr>
          <w:rFonts w:cs="Arial"/>
        </w:rPr>
      </w:pPr>
      <w:r w:rsidRPr="006F5664">
        <w:rPr>
          <w:rFonts w:cs="Arial"/>
          <w:color w:val="000000"/>
        </w:rPr>
        <w:t xml:space="preserve">Audit </w:t>
      </w:r>
      <w:r>
        <w:rPr>
          <w:rFonts w:cs="Arial"/>
          <w:color w:val="000000"/>
        </w:rPr>
        <w:t>KB</w:t>
      </w:r>
      <w:r w:rsidRPr="006F5664">
        <w:rPr>
          <w:rFonts w:cs="Arial"/>
          <w:color w:val="000000"/>
        </w:rPr>
        <w:t xml:space="preserve"> je prováděn minimálně dle požadavků § 16 VKB auditorem KB. Proces výkonu auditu KB </w:t>
      </w:r>
      <w:r w:rsidR="00E2207A">
        <w:rPr>
          <w:rFonts w:cs="Arial"/>
          <w:color w:val="000000"/>
        </w:rPr>
        <w:t xml:space="preserve">na MPSV </w:t>
      </w:r>
      <w:r w:rsidRPr="006F5664">
        <w:rPr>
          <w:rFonts w:cs="Arial"/>
          <w:color w:val="000000"/>
        </w:rPr>
        <w:t xml:space="preserve">se řídí zákonem o finanční kontrole, a je </w:t>
      </w:r>
      <w:r w:rsidRPr="006F5664">
        <w:rPr>
          <w:rFonts w:cs="Arial"/>
        </w:rPr>
        <w:t xml:space="preserve">upraven interními předpisy odboru interního auditu a kontroly. Při výkonu auditu </w:t>
      </w:r>
      <w:r w:rsidR="004C5010" w:rsidRPr="004C5010">
        <w:rPr>
          <w:rFonts w:cs="Arial"/>
        </w:rPr>
        <w:t>KB u podřízených organizací se proces výkonu řídí přílohou č. 3 PM č. 3/2016</w:t>
      </w:r>
      <w:r w:rsidR="004C5010">
        <w:rPr>
          <w:rFonts w:cs="Arial"/>
        </w:rPr>
        <w:t xml:space="preserve">, </w:t>
      </w:r>
      <w:r w:rsidR="004C5010" w:rsidRPr="004C5010">
        <w:rPr>
          <w:rFonts w:cs="Arial"/>
        </w:rPr>
        <w:t>Statut interního auditu Statut auditního orgánu Operačního programu potravinové a materiální pomoci. V obou případech</w:t>
      </w:r>
      <w:r w:rsidRPr="006F5664">
        <w:rPr>
          <w:rFonts w:cs="Arial"/>
        </w:rPr>
        <w:t xml:space="preserve"> jsou zohledňovány Mezinárodní standardy pro profesní praxi interního auditu</w:t>
      </w:r>
    </w:p>
    <w:p w14:paraId="2E878BEB" w14:textId="77777777" w:rsidR="006F5664" w:rsidRDefault="006F5664" w:rsidP="00EA1590"/>
    <w:tbl>
      <w:tblPr>
        <w:tblW w:w="966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A91C32" w:rsidRPr="0024788C" w14:paraId="51E9F0FE" w14:textId="77777777" w:rsidTr="00242156">
        <w:trPr>
          <w:trHeight w:val="567"/>
        </w:trPr>
        <w:tc>
          <w:tcPr>
            <w:tcW w:w="9660" w:type="dxa"/>
            <w:gridSpan w:val="2"/>
            <w:shd w:val="clear" w:color="auto" w:fill="FBE4D5"/>
          </w:tcPr>
          <w:p w14:paraId="210F765D" w14:textId="77777777" w:rsidR="00A91C32" w:rsidRPr="00181E6A" w:rsidRDefault="00A91C32" w:rsidP="00242156">
            <w:pPr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 w:rsidRPr="00A91C32">
              <w:rPr>
                <w:rFonts w:cs="Arial"/>
                <w:b/>
                <w:bCs/>
                <w:sz w:val="22"/>
                <w:szCs w:val="22"/>
                <w:lang w:eastAsia="x-none"/>
              </w:rPr>
              <w:t>2/2023/120</w:t>
            </w:r>
          </w:p>
          <w:p w14:paraId="693C85E7" w14:textId="77777777" w:rsidR="00A91C32" w:rsidRPr="0024788C" w:rsidRDefault="00A91C32" w:rsidP="00242156">
            <w:pPr>
              <w:rPr>
                <w:rFonts w:cs="Arial"/>
                <w:sz w:val="22"/>
                <w:szCs w:val="22"/>
                <w:highlight w:val="yellow"/>
                <w:lang w:eastAsia="x-none"/>
              </w:rPr>
            </w:pPr>
            <w:r w:rsidRPr="00A91C32">
              <w:rPr>
                <w:rFonts w:cs="Arial"/>
                <w:sz w:val="22"/>
                <w:szCs w:val="22"/>
                <w:lang w:eastAsia="x-none"/>
              </w:rPr>
              <w:t>Audit KB – implementace ISMS</w:t>
            </w:r>
          </w:p>
        </w:tc>
      </w:tr>
      <w:tr w:rsidR="00A91C32" w:rsidRPr="0024788C" w14:paraId="0F8FF447" w14:textId="77777777" w:rsidTr="00242156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</w:tcPr>
          <w:p w14:paraId="16CF26B4" w14:textId="77777777" w:rsidR="00A91C32" w:rsidRPr="006E2A0E" w:rsidRDefault="00A91C32" w:rsidP="00242156">
            <w:pPr>
              <w:rPr>
                <w:rFonts w:cs="Arial"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>Zjištění 1/SV:</w:t>
            </w:r>
            <w:r w:rsidRPr="006E2A0E">
              <w:rPr>
                <w:rFonts w:cs="Arial"/>
                <w:sz w:val="22"/>
                <w:szCs w:val="22"/>
              </w:rPr>
              <w:t xml:space="preserve"> </w:t>
            </w:r>
            <w:r w:rsidRPr="00A91C32">
              <w:rPr>
                <w:rFonts w:cs="Arial"/>
                <w:sz w:val="22"/>
                <w:szCs w:val="22"/>
              </w:rPr>
              <w:t>Není nastaveno průkazné seznamování zaměstnanců ÚP s akty řízení vydaných MPSV, které jsou pro ně závazné. Stav může mít negativní vliv na úroveň bezpečnostního povědomí uživatelů na ÚP.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240C867B" w14:textId="77777777" w:rsidR="00A91C32" w:rsidRPr="006E2A0E" w:rsidRDefault="00A91C32" w:rsidP="0024215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 xml:space="preserve">Doporučení: </w:t>
            </w:r>
            <w:r w:rsidRPr="00A91C32">
              <w:rPr>
                <w:rFonts w:cs="Arial"/>
                <w:sz w:val="22"/>
                <w:szCs w:val="22"/>
              </w:rPr>
              <w:t>Nastavit systém průkazného seznamování zaměstnanců ÚP s akty řízení MPSV a provést prokazatelné seznámení.</w:t>
            </w:r>
          </w:p>
        </w:tc>
      </w:tr>
      <w:tr w:rsidR="00A91C32" w:rsidRPr="0024788C" w14:paraId="7697A15D" w14:textId="77777777" w:rsidTr="00242156">
        <w:trPr>
          <w:trHeight w:val="567"/>
        </w:trPr>
        <w:tc>
          <w:tcPr>
            <w:tcW w:w="9660" w:type="dxa"/>
            <w:gridSpan w:val="2"/>
            <w:shd w:val="clear" w:color="auto" w:fill="D9E2F3"/>
            <w:vAlign w:val="center"/>
          </w:tcPr>
          <w:p w14:paraId="209B083C" w14:textId="77777777" w:rsidR="00A91C32" w:rsidRPr="006E2A0E" w:rsidRDefault="00A91C32" w:rsidP="00242156">
            <w:pPr>
              <w:jc w:val="left"/>
              <w:rPr>
                <w:rFonts w:cs="Arial"/>
                <w:sz w:val="22"/>
                <w:szCs w:val="22"/>
                <w:lang w:val="x-none" w:eastAsia="x-none"/>
              </w:rPr>
            </w:pPr>
            <w:r w:rsidRPr="00A91C32">
              <w:rPr>
                <w:rFonts w:cs="Arial"/>
                <w:b/>
                <w:bCs/>
                <w:sz w:val="22"/>
                <w:szCs w:val="22"/>
              </w:rPr>
              <w:t>Schválená NO (</w:t>
            </w: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Pr="00A91C32">
              <w:rPr>
                <w:rFonts w:cs="Arial"/>
                <w:b/>
                <w:bCs/>
                <w:sz w:val="22"/>
                <w:szCs w:val="22"/>
              </w:rPr>
              <w:t>) byla stanovena splnit do 31. 12. 2024.</w:t>
            </w:r>
          </w:p>
        </w:tc>
      </w:tr>
    </w:tbl>
    <w:p w14:paraId="32165623" w14:textId="77777777" w:rsidR="00181E6A" w:rsidRDefault="00181E6A" w:rsidP="00EA1590"/>
    <w:tbl>
      <w:tblPr>
        <w:tblW w:w="966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A91C32" w:rsidRPr="0024788C" w14:paraId="74EB4A7A" w14:textId="77777777" w:rsidTr="00242156">
        <w:trPr>
          <w:trHeight w:val="567"/>
        </w:trPr>
        <w:tc>
          <w:tcPr>
            <w:tcW w:w="9660" w:type="dxa"/>
            <w:gridSpan w:val="2"/>
            <w:shd w:val="clear" w:color="auto" w:fill="FBE4D5"/>
          </w:tcPr>
          <w:p w14:paraId="1DF33F2E" w14:textId="77777777" w:rsidR="00A91C32" w:rsidRPr="00181E6A" w:rsidRDefault="005A68EE" w:rsidP="00242156">
            <w:pPr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x-none"/>
              </w:rPr>
              <w:t>3</w:t>
            </w:r>
            <w:r w:rsidR="00A91C32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/2023/12</w:t>
            </w:r>
            <w:r>
              <w:rPr>
                <w:rFonts w:cs="Arial"/>
                <w:b/>
                <w:bCs/>
                <w:sz w:val="22"/>
                <w:szCs w:val="22"/>
                <w:lang w:eastAsia="x-none"/>
              </w:rPr>
              <w:t>0</w:t>
            </w:r>
            <w:r w:rsidR="00A91C32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 xml:space="preserve"> </w:t>
            </w:r>
          </w:p>
          <w:p w14:paraId="17CB7F9C" w14:textId="77777777" w:rsidR="00A91C32" w:rsidRPr="0024788C" w:rsidRDefault="005A68EE" w:rsidP="00242156">
            <w:pPr>
              <w:rPr>
                <w:rFonts w:cs="Arial"/>
                <w:sz w:val="22"/>
                <w:szCs w:val="22"/>
                <w:highlight w:val="yellow"/>
                <w:lang w:eastAsia="x-none"/>
              </w:rPr>
            </w:pPr>
            <w:r w:rsidRPr="005A68EE">
              <w:rPr>
                <w:rFonts w:cs="Arial"/>
                <w:sz w:val="22"/>
                <w:szCs w:val="22"/>
                <w:lang w:eastAsia="x-none"/>
              </w:rPr>
              <w:t>Audit KB – kybernetické bezpečnostní události a incidenty</w:t>
            </w:r>
          </w:p>
        </w:tc>
      </w:tr>
      <w:tr w:rsidR="00A91C32" w:rsidRPr="0024788C" w14:paraId="7115D3A8" w14:textId="77777777" w:rsidTr="00242156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</w:tcPr>
          <w:p w14:paraId="01951D1D" w14:textId="77777777" w:rsidR="00A91C32" w:rsidRPr="006E2A0E" w:rsidRDefault="00A91C32" w:rsidP="00242156">
            <w:pPr>
              <w:rPr>
                <w:rFonts w:cs="Arial"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>Zjištění 1/V:</w:t>
            </w:r>
            <w:r w:rsidRPr="006E2A0E">
              <w:rPr>
                <w:rFonts w:cs="Arial"/>
                <w:sz w:val="22"/>
                <w:szCs w:val="22"/>
              </w:rPr>
              <w:t xml:space="preserve"> </w:t>
            </w:r>
            <w:r w:rsidR="005A68EE" w:rsidRPr="005A68EE">
              <w:rPr>
                <w:rFonts w:cs="Arial"/>
                <w:sz w:val="22"/>
                <w:szCs w:val="22"/>
              </w:rPr>
              <w:t xml:space="preserve">Automatická detekce kybernetických bezpečnostních událostí </w:t>
            </w:r>
            <w:r w:rsidR="005A68EE" w:rsidRPr="005A68EE">
              <w:rPr>
                <w:rFonts w:cs="Arial"/>
                <w:sz w:val="22"/>
                <w:szCs w:val="22"/>
              </w:rPr>
              <w:lastRenderedPageBreak/>
              <w:t>prostřednictvím SIEM není plně prováděna na všech aktivech s ohledem na dosud nedokončenou identifikaci aktiv a nekompletní CMDB.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08A9F80" w14:textId="77777777" w:rsidR="00A91C32" w:rsidRPr="006E2A0E" w:rsidRDefault="00A91C32" w:rsidP="0024215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Doporučení: </w:t>
            </w:r>
            <w:r w:rsidR="005A68EE" w:rsidRPr="005A68EE">
              <w:rPr>
                <w:rFonts w:cs="Arial"/>
                <w:sz w:val="22"/>
                <w:szCs w:val="22"/>
              </w:rPr>
              <w:t xml:space="preserve">Provést řádnou klasifikaci aktiv, porovnat aktuálně aplikovaný rozsah detekce </w:t>
            </w:r>
            <w:r w:rsidR="005A68EE">
              <w:rPr>
                <w:rFonts w:cs="Arial"/>
                <w:sz w:val="22"/>
                <w:szCs w:val="22"/>
              </w:rPr>
              <w:br/>
            </w:r>
            <w:r w:rsidR="005A68EE" w:rsidRPr="005A68EE">
              <w:rPr>
                <w:rFonts w:cs="Arial"/>
                <w:sz w:val="22"/>
                <w:szCs w:val="22"/>
              </w:rPr>
              <w:lastRenderedPageBreak/>
              <w:t>a identifikovaná nepokrytá místa zahrnout do detekce a řádně vést kompletní a aktuální CMDB.</w:t>
            </w:r>
          </w:p>
        </w:tc>
      </w:tr>
      <w:tr w:rsidR="00A91C32" w:rsidRPr="0024788C" w14:paraId="72392568" w14:textId="77777777" w:rsidTr="00242156">
        <w:trPr>
          <w:trHeight w:val="567"/>
        </w:trPr>
        <w:tc>
          <w:tcPr>
            <w:tcW w:w="9660" w:type="dxa"/>
            <w:gridSpan w:val="2"/>
            <w:shd w:val="clear" w:color="auto" w:fill="D9E2F3"/>
            <w:vAlign w:val="center"/>
          </w:tcPr>
          <w:p w14:paraId="6D65B762" w14:textId="77777777" w:rsidR="00A91C32" w:rsidRPr="006E2A0E" w:rsidRDefault="00A91C32" w:rsidP="00242156">
            <w:pPr>
              <w:jc w:val="left"/>
              <w:rPr>
                <w:rFonts w:cs="Arial"/>
                <w:sz w:val="22"/>
                <w:szCs w:val="22"/>
                <w:lang w:val="x-none" w:eastAsia="x-none"/>
              </w:rPr>
            </w:pPr>
            <w:r w:rsidRPr="00A91C32">
              <w:rPr>
                <w:rFonts w:cs="Arial"/>
                <w:b/>
                <w:bCs/>
                <w:sz w:val="22"/>
                <w:szCs w:val="22"/>
              </w:rPr>
              <w:lastRenderedPageBreak/>
              <w:t>Schválená NO (</w:t>
            </w:r>
            <w:r w:rsidR="005A68EE">
              <w:rPr>
                <w:rFonts w:cs="Arial"/>
                <w:b/>
                <w:bCs/>
                <w:sz w:val="22"/>
                <w:szCs w:val="22"/>
              </w:rPr>
              <w:t>6</w:t>
            </w:r>
            <w:r w:rsidRPr="00A91C32">
              <w:rPr>
                <w:rFonts w:cs="Arial"/>
                <w:b/>
                <w:bCs/>
                <w:sz w:val="22"/>
                <w:szCs w:val="22"/>
              </w:rPr>
              <w:t xml:space="preserve">) byla stanovena splnit do 31. </w:t>
            </w:r>
            <w:r w:rsidR="005A68EE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A91C32">
              <w:rPr>
                <w:rFonts w:cs="Arial"/>
                <w:b/>
                <w:bCs/>
                <w:sz w:val="22"/>
                <w:szCs w:val="22"/>
              </w:rPr>
              <w:t>. 2024.</w:t>
            </w:r>
          </w:p>
        </w:tc>
      </w:tr>
    </w:tbl>
    <w:p w14:paraId="155CFBE6" w14:textId="77777777" w:rsidR="00A91C32" w:rsidRDefault="00A91C32" w:rsidP="00EA1590"/>
    <w:tbl>
      <w:tblPr>
        <w:tblW w:w="966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A91C32" w:rsidRPr="0024788C" w14:paraId="064F4A68" w14:textId="77777777" w:rsidTr="00242156">
        <w:trPr>
          <w:trHeight w:val="567"/>
        </w:trPr>
        <w:tc>
          <w:tcPr>
            <w:tcW w:w="9660" w:type="dxa"/>
            <w:gridSpan w:val="2"/>
            <w:shd w:val="clear" w:color="auto" w:fill="FBE4D5"/>
          </w:tcPr>
          <w:p w14:paraId="2B38566F" w14:textId="77777777" w:rsidR="00812B32" w:rsidRDefault="00812B32" w:rsidP="00812B32">
            <w:pPr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x-none"/>
              </w:rPr>
              <w:t>4</w:t>
            </w:r>
            <w:r w:rsidR="00A91C32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/2023/12</w:t>
            </w:r>
            <w:r>
              <w:rPr>
                <w:rFonts w:cs="Arial"/>
                <w:b/>
                <w:bCs/>
                <w:sz w:val="22"/>
                <w:szCs w:val="22"/>
                <w:lang w:eastAsia="x-none"/>
              </w:rPr>
              <w:t>0</w:t>
            </w:r>
          </w:p>
          <w:p w14:paraId="2B58BCCA" w14:textId="77777777" w:rsidR="00A91C32" w:rsidRPr="0024788C" w:rsidRDefault="00812B32" w:rsidP="00812B32">
            <w:pPr>
              <w:rPr>
                <w:rFonts w:cs="Arial"/>
                <w:sz w:val="22"/>
                <w:szCs w:val="22"/>
                <w:highlight w:val="yellow"/>
                <w:lang w:eastAsia="x-none"/>
              </w:rPr>
            </w:pPr>
            <w:r w:rsidRPr="00812B32">
              <w:rPr>
                <w:rFonts w:cs="Arial"/>
                <w:sz w:val="22"/>
                <w:szCs w:val="22"/>
                <w:lang w:eastAsia="x-none"/>
              </w:rPr>
              <w:t>Implementace ISMS</w:t>
            </w:r>
          </w:p>
        </w:tc>
      </w:tr>
      <w:tr w:rsidR="00A91C32" w:rsidRPr="0024788C" w14:paraId="68E8A2E6" w14:textId="77777777" w:rsidTr="00242156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</w:tcPr>
          <w:p w14:paraId="2AE63406" w14:textId="77777777" w:rsidR="00A91C32" w:rsidRPr="006E2A0E" w:rsidRDefault="00A91C32" w:rsidP="00242156">
            <w:pPr>
              <w:rPr>
                <w:rFonts w:cs="Arial"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>Zjištění 1/SV:</w:t>
            </w:r>
            <w:r w:rsidRPr="006E2A0E">
              <w:rPr>
                <w:rFonts w:cs="Arial"/>
                <w:sz w:val="22"/>
                <w:szCs w:val="22"/>
              </w:rPr>
              <w:t xml:space="preserve"> </w:t>
            </w:r>
            <w:r w:rsidR="00812B32" w:rsidRPr="00812B32">
              <w:rPr>
                <w:rFonts w:cs="Arial"/>
                <w:sz w:val="22"/>
                <w:szCs w:val="22"/>
              </w:rPr>
              <w:t>Bezpečnostní dokumentace je v částečném souladu s požadavky stanovenými v příloze č. 5 vyhlášky č. 82/2018 Sb., o bezpečnostních opatřeních, kybernetických bezpečnostních incidentech, reaktivních opatřeních, náležitostech podání v oblasti kybernetické bezpečnosti a likvidaci dat.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C66A584" w14:textId="77777777" w:rsidR="00A91C32" w:rsidRPr="006E2A0E" w:rsidRDefault="00A91C32" w:rsidP="0024215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 xml:space="preserve">Doporučení: </w:t>
            </w:r>
            <w:r w:rsidR="00812B32" w:rsidRPr="00812B32">
              <w:rPr>
                <w:rFonts w:cs="Arial"/>
                <w:sz w:val="22"/>
                <w:szCs w:val="22"/>
              </w:rPr>
              <w:t>Doplnit chybějící části bezpečnostní dokumentace.</w:t>
            </w:r>
          </w:p>
        </w:tc>
      </w:tr>
      <w:tr w:rsidR="00A91C32" w:rsidRPr="0024788C" w14:paraId="02679BC2" w14:textId="77777777" w:rsidTr="00242156">
        <w:trPr>
          <w:trHeight w:val="567"/>
        </w:trPr>
        <w:tc>
          <w:tcPr>
            <w:tcW w:w="9660" w:type="dxa"/>
            <w:gridSpan w:val="2"/>
            <w:shd w:val="clear" w:color="auto" w:fill="D9E2F3"/>
            <w:vAlign w:val="center"/>
          </w:tcPr>
          <w:p w14:paraId="3FBE4B9D" w14:textId="77777777" w:rsidR="00A91C32" w:rsidRPr="006E2A0E" w:rsidRDefault="00A91C32" w:rsidP="00242156">
            <w:pPr>
              <w:jc w:val="left"/>
              <w:rPr>
                <w:rFonts w:cs="Arial"/>
                <w:sz w:val="22"/>
                <w:szCs w:val="22"/>
                <w:lang w:val="x-none" w:eastAsia="x-none"/>
              </w:rPr>
            </w:pPr>
            <w:r w:rsidRPr="00A91C32">
              <w:rPr>
                <w:rFonts w:cs="Arial"/>
                <w:b/>
                <w:bCs/>
                <w:sz w:val="22"/>
                <w:szCs w:val="22"/>
              </w:rPr>
              <w:t>Schválen</w:t>
            </w:r>
            <w:r w:rsidR="00812B32">
              <w:rPr>
                <w:rFonts w:cs="Arial"/>
                <w:b/>
                <w:bCs/>
                <w:sz w:val="22"/>
                <w:szCs w:val="22"/>
              </w:rPr>
              <w:t>é</w:t>
            </w:r>
            <w:r w:rsidRPr="00A91C32">
              <w:rPr>
                <w:rFonts w:cs="Arial"/>
                <w:b/>
                <w:bCs/>
                <w:sz w:val="22"/>
                <w:szCs w:val="22"/>
              </w:rPr>
              <w:t xml:space="preserve"> NO byl</w:t>
            </w:r>
            <w:r w:rsidR="00812B32">
              <w:rPr>
                <w:rFonts w:cs="Arial"/>
                <w:b/>
                <w:bCs/>
                <w:sz w:val="22"/>
                <w:szCs w:val="22"/>
              </w:rPr>
              <w:t>o</w:t>
            </w:r>
            <w:r w:rsidRPr="00A91C32">
              <w:rPr>
                <w:rFonts w:cs="Arial"/>
                <w:b/>
                <w:bCs/>
                <w:sz w:val="22"/>
                <w:szCs w:val="22"/>
              </w:rPr>
              <w:t xml:space="preserve"> stanoven</w:t>
            </w:r>
            <w:r w:rsidR="00812B32">
              <w:rPr>
                <w:rFonts w:cs="Arial"/>
                <w:b/>
                <w:bCs/>
                <w:sz w:val="22"/>
                <w:szCs w:val="22"/>
              </w:rPr>
              <w:t>o</w:t>
            </w:r>
            <w:r w:rsidRPr="00A91C32">
              <w:rPr>
                <w:rFonts w:cs="Arial"/>
                <w:b/>
                <w:bCs/>
                <w:sz w:val="22"/>
                <w:szCs w:val="22"/>
              </w:rPr>
              <w:t xml:space="preserve"> splnit do 31. </w:t>
            </w:r>
            <w:r w:rsidR="00812B32">
              <w:rPr>
                <w:rFonts w:cs="Arial"/>
                <w:b/>
                <w:bCs/>
                <w:sz w:val="22"/>
                <w:szCs w:val="22"/>
              </w:rPr>
              <w:t>7</w:t>
            </w:r>
            <w:r w:rsidRPr="00A91C32">
              <w:rPr>
                <w:rFonts w:cs="Arial"/>
                <w:b/>
                <w:bCs/>
                <w:sz w:val="22"/>
                <w:szCs w:val="22"/>
              </w:rPr>
              <w:t>. 2024.</w:t>
            </w:r>
          </w:p>
        </w:tc>
      </w:tr>
    </w:tbl>
    <w:p w14:paraId="5BCF0D29" w14:textId="77777777" w:rsidR="00A91C32" w:rsidRDefault="00A91C32" w:rsidP="00EA1590"/>
    <w:p w14:paraId="3138B3C4" w14:textId="77777777" w:rsidR="00181E6A" w:rsidRPr="00EA1590" w:rsidRDefault="00181E6A" w:rsidP="00EA1590"/>
    <w:p w14:paraId="675536D3" w14:textId="77777777" w:rsidR="003B2661" w:rsidRPr="00207545" w:rsidRDefault="00671471" w:rsidP="00671471">
      <w:pPr>
        <w:pStyle w:val="Nadpis3"/>
      </w:pPr>
      <w:bookmarkStart w:id="17" w:name="_Toc160019385"/>
      <w:r>
        <w:t>4.2.</w:t>
      </w:r>
      <w:r w:rsidR="00EA1590">
        <w:t>3</w:t>
      </w:r>
      <w:r>
        <w:t xml:space="preserve"> </w:t>
      </w:r>
      <w:r w:rsidR="00380DD4">
        <w:t>Interní audity</w:t>
      </w:r>
      <w:r w:rsidR="0037259C">
        <w:t xml:space="preserve"> </w:t>
      </w:r>
      <w:r w:rsidR="00CD7E96">
        <w:t xml:space="preserve">- </w:t>
      </w:r>
      <w:r w:rsidR="0037259C">
        <w:t xml:space="preserve">audity systému </w:t>
      </w:r>
      <w:r w:rsidR="00016BB6">
        <w:t>(A</w:t>
      </w:r>
      <w:r w:rsidR="00E241AC">
        <w:t>s</w:t>
      </w:r>
      <w:r w:rsidR="00016BB6">
        <w:t xml:space="preserve">) </w:t>
      </w:r>
      <w:r w:rsidR="0037259C">
        <w:t>a audity operací</w:t>
      </w:r>
      <w:r w:rsidR="00016BB6">
        <w:t xml:space="preserve"> (</w:t>
      </w:r>
      <w:proofErr w:type="spellStart"/>
      <w:r w:rsidR="00E241AC">
        <w:t>Aop</w:t>
      </w:r>
      <w:proofErr w:type="spellEnd"/>
      <w:r w:rsidR="00E241AC">
        <w:t>)</w:t>
      </w:r>
      <w:bookmarkEnd w:id="17"/>
    </w:p>
    <w:p w14:paraId="4B252793" w14:textId="77777777" w:rsidR="005B0639" w:rsidRDefault="005B0639" w:rsidP="00FF5FCC">
      <w:pPr>
        <w:pStyle w:val="Zkladntext"/>
        <w:jc w:val="both"/>
        <w:rPr>
          <w:rFonts w:cs="Arial"/>
          <w:b w:val="0"/>
          <w:bCs w:val="0"/>
          <w:sz w:val="28"/>
          <w:szCs w:val="28"/>
          <w:lang w:val="cs-CZ"/>
        </w:rPr>
      </w:pPr>
    </w:p>
    <w:p w14:paraId="6B6C13F5" w14:textId="77777777" w:rsidR="005D4113" w:rsidRDefault="005D4113" w:rsidP="005D4113">
      <w:pPr>
        <w:rPr>
          <w:rFonts w:cs="Arial"/>
          <w:lang w:val="x-none" w:eastAsia="x-none"/>
        </w:rPr>
      </w:pPr>
      <w:r w:rsidRPr="005D4113">
        <w:rPr>
          <w:rFonts w:cs="Arial"/>
          <w:lang w:val="x-none" w:eastAsia="x-none"/>
        </w:rPr>
        <w:t xml:space="preserve">Při analýze nedostatků podle § 31 odst. 3 písm. b) zákona o finanční kontrole, </w:t>
      </w:r>
      <w:r w:rsidRPr="005D4113">
        <w:rPr>
          <w:rFonts w:cs="Arial"/>
          <w:lang w:val="x-none" w:eastAsia="x-none"/>
        </w:rPr>
        <w:br w:type="textWrapping" w:clear="all"/>
        <w:t xml:space="preserve">tj. nedostatků vyplývajících z provedených auditů, se podle jednotlivých </w:t>
      </w:r>
      <w:r w:rsidRPr="005D4113">
        <w:rPr>
          <w:rFonts w:cs="Arial"/>
          <w:lang w:eastAsia="x-none"/>
        </w:rPr>
        <w:t>auditů</w:t>
      </w:r>
      <w:r w:rsidRPr="005D4113">
        <w:rPr>
          <w:rFonts w:cs="Arial"/>
          <w:lang w:val="x-none" w:eastAsia="x-none"/>
        </w:rPr>
        <w:t xml:space="preserve"> jako nejzávažnější zjištění jevila tato</w:t>
      </w:r>
      <w:r w:rsidR="00037F8B">
        <w:rPr>
          <w:rStyle w:val="Znakapoznpodarou"/>
          <w:rFonts w:cs="Arial"/>
          <w:lang w:val="x-none" w:eastAsia="x-none"/>
        </w:rPr>
        <w:footnoteReference w:id="4"/>
      </w:r>
      <w:r w:rsidRPr="005D4113">
        <w:rPr>
          <w:rFonts w:cs="Arial"/>
          <w:lang w:val="x-none" w:eastAsia="x-none"/>
        </w:rPr>
        <w:t>:</w:t>
      </w:r>
    </w:p>
    <w:p w14:paraId="2C468AE0" w14:textId="77777777" w:rsidR="001C061B" w:rsidRDefault="001C061B" w:rsidP="005D4113">
      <w:pPr>
        <w:rPr>
          <w:rFonts w:cs="Arial"/>
          <w:lang w:val="x-none" w:eastAsia="x-none"/>
        </w:rPr>
      </w:pPr>
    </w:p>
    <w:tbl>
      <w:tblPr>
        <w:tblW w:w="966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E629AE" w:rsidRPr="0024788C" w14:paraId="5C345036" w14:textId="77777777" w:rsidTr="00F82CCD">
        <w:trPr>
          <w:trHeight w:val="567"/>
        </w:trPr>
        <w:tc>
          <w:tcPr>
            <w:tcW w:w="9660" w:type="dxa"/>
            <w:gridSpan w:val="2"/>
            <w:shd w:val="clear" w:color="auto" w:fill="FBE4D5"/>
          </w:tcPr>
          <w:p w14:paraId="294A8A5E" w14:textId="77777777" w:rsidR="00E629AE" w:rsidRPr="00181E6A" w:rsidRDefault="00E629AE" w:rsidP="00E629AE">
            <w:pPr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4/2023/121 - A</w:t>
            </w:r>
            <w:r w:rsidR="00E241AC">
              <w:rPr>
                <w:rFonts w:cs="Arial"/>
                <w:b/>
                <w:bCs/>
                <w:sz w:val="22"/>
                <w:szCs w:val="22"/>
                <w:lang w:eastAsia="x-none"/>
              </w:rPr>
              <w:t>s</w:t>
            </w:r>
          </w:p>
          <w:p w14:paraId="2BAB0D91" w14:textId="77777777" w:rsidR="00E629AE" w:rsidRPr="0024788C" w:rsidRDefault="00E629AE" w:rsidP="00E629AE">
            <w:pPr>
              <w:rPr>
                <w:rFonts w:cs="Arial"/>
                <w:sz w:val="22"/>
                <w:szCs w:val="22"/>
                <w:highlight w:val="yellow"/>
                <w:lang w:eastAsia="x-none"/>
              </w:rPr>
            </w:pPr>
            <w:bookmarkStart w:id="18" w:name="_Hlk159935070"/>
            <w:r w:rsidRPr="00181E6A">
              <w:rPr>
                <w:rFonts w:cs="Arial"/>
                <w:sz w:val="22"/>
                <w:szCs w:val="22"/>
                <w:lang w:eastAsia="x-none"/>
              </w:rPr>
              <w:t>Dotace v oblasti poskytování sociálních služeb s nadregionální či celostátní působností</w:t>
            </w:r>
            <w:bookmarkEnd w:id="18"/>
          </w:p>
        </w:tc>
      </w:tr>
      <w:tr w:rsidR="00E629AE" w:rsidRPr="0024788C" w14:paraId="0A49267B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5DF60DF8" w14:textId="77777777" w:rsidR="00E629AE" w:rsidRPr="00EB2362" w:rsidRDefault="00E629AE" w:rsidP="00F82CCD">
            <w:pPr>
              <w:rPr>
                <w:rFonts w:cs="Arial"/>
                <w:sz w:val="22"/>
                <w:szCs w:val="22"/>
                <w:lang w:val="x-none" w:eastAsia="x-none"/>
              </w:rPr>
            </w:pPr>
            <w:r w:rsidRPr="00EB2362">
              <w:rPr>
                <w:rFonts w:cs="Arial"/>
                <w:b/>
                <w:bCs/>
                <w:sz w:val="22"/>
                <w:szCs w:val="22"/>
              </w:rPr>
              <w:t>Zjištění 1/V:</w:t>
            </w:r>
            <w:r w:rsidR="00EB236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EB2362" w:rsidRPr="00EB2362">
              <w:rPr>
                <w:rFonts w:cs="Arial"/>
                <w:sz w:val="22"/>
                <w:szCs w:val="22"/>
              </w:rPr>
              <w:t xml:space="preserve">V PM č. 19/2021 nejsou nastaveny evaluační mechanismy, není nastaven proces monitoringu a vyhodnocování cílů, účelu a priorit programu. Přínosy programu nejsou objektivně sledovány a vyhodnocovány, stejně tak není sledováno a vyhodnocováno naplňování výstupů a dopadů poskytnutých intervencí, a to i s vazbou na plnění vizí, cílů </w:t>
            </w:r>
            <w:r w:rsidR="00EB2362">
              <w:rPr>
                <w:rFonts w:cs="Arial"/>
                <w:sz w:val="22"/>
                <w:szCs w:val="22"/>
              </w:rPr>
              <w:br/>
            </w:r>
            <w:r w:rsidR="00EB2362" w:rsidRPr="00EB2362">
              <w:rPr>
                <w:rFonts w:cs="Arial"/>
                <w:sz w:val="22"/>
                <w:szCs w:val="22"/>
              </w:rPr>
              <w:t xml:space="preserve">a opatření vyplývajících z Národní strategie rozvoje sociálních služeb 2016-2025 a dalších strategických dokumentů v oblasti sociálních služeb. Tím, že MPSV soustavně nesleduje </w:t>
            </w:r>
            <w:r w:rsidR="00EB2362">
              <w:rPr>
                <w:rFonts w:cs="Arial"/>
                <w:sz w:val="22"/>
                <w:szCs w:val="22"/>
              </w:rPr>
              <w:br/>
            </w:r>
            <w:r w:rsidR="00EB2362" w:rsidRPr="00EB2362">
              <w:rPr>
                <w:rFonts w:cs="Arial"/>
                <w:sz w:val="22"/>
                <w:szCs w:val="22"/>
              </w:rPr>
              <w:t xml:space="preserve">a nevyhodnocuje hospodárnost, efektivnost </w:t>
            </w:r>
            <w:r w:rsidR="00EB2362">
              <w:rPr>
                <w:rFonts w:cs="Arial"/>
                <w:sz w:val="22"/>
                <w:szCs w:val="22"/>
              </w:rPr>
              <w:br/>
            </w:r>
            <w:r w:rsidR="00EB2362" w:rsidRPr="00EB2362">
              <w:rPr>
                <w:rFonts w:cs="Arial"/>
                <w:sz w:val="22"/>
                <w:szCs w:val="22"/>
              </w:rPr>
              <w:t>a účelnost vynakládání výdajů své rozpočtové kapitoly, nepostupuje v souladu s § 39 odst. 3 zákona č. 218/2000 Sb., o rozpočtových pravidlech.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4382C194" w14:textId="77777777" w:rsidR="00E629AE" w:rsidRPr="00EB2362" w:rsidRDefault="00E629AE" w:rsidP="00F82CCD">
            <w:pPr>
              <w:rPr>
                <w:rFonts w:cs="Arial"/>
                <w:sz w:val="22"/>
                <w:szCs w:val="22"/>
                <w:lang w:eastAsia="x-none"/>
              </w:rPr>
            </w:pPr>
            <w:r w:rsidRPr="00EB2362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Pr="00EB2362">
              <w:rPr>
                <w:rFonts w:cs="Arial"/>
                <w:sz w:val="22"/>
                <w:szCs w:val="22"/>
              </w:rPr>
              <w:t xml:space="preserve"> </w:t>
            </w:r>
            <w:r w:rsidR="00EB2362" w:rsidRPr="00EB2362">
              <w:rPr>
                <w:rFonts w:cs="Arial"/>
                <w:sz w:val="22"/>
                <w:szCs w:val="22"/>
              </w:rPr>
              <w:t xml:space="preserve">Zavést mechanismy pro vyhodnocování údajů o dosažených výsledcích programu a reálných dopadů intervencí. Jako základní předpoklad vhodně stanovit cíl programu, případně další dílčí cíle. Následně nastavit způsoby monitorování plnění cílů, jejich ověřování a vyhodnocování. Průběžně sledovat a vyhodnocovat hospodárnost, efektivnost </w:t>
            </w:r>
            <w:r w:rsidR="00EB2362">
              <w:rPr>
                <w:rFonts w:cs="Arial"/>
                <w:sz w:val="22"/>
                <w:szCs w:val="22"/>
              </w:rPr>
              <w:br/>
            </w:r>
            <w:r w:rsidR="00EB2362" w:rsidRPr="00EB2362">
              <w:rPr>
                <w:rFonts w:cs="Arial"/>
                <w:sz w:val="22"/>
                <w:szCs w:val="22"/>
              </w:rPr>
              <w:t>a účelnost vynakládání výdajů.</w:t>
            </w:r>
          </w:p>
        </w:tc>
      </w:tr>
      <w:tr w:rsidR="00E629AE" w:rsidRPr="0024788C" w14:paraId="7068DFB2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</w:tcPr>
          <w:p w14:paraId="3355FCC0" w14:textId="77777777" w:rsidR="00E629AE" w:rsidRPr="00EB2362" w:rsidRDefault="00E629AE" w:rsidP="00F82CCD">
            <w:pPr>
              <w:rPr>
                <w:rFonts w:cs="Arial"/>
                <w:sz w:val="22"/>
                <w:szCs w:val="22"/>
              </w:rPr>
            </w:pPr>
            <w:r w:rsidRPr="00EB2362">
              <w:rPr>
                <w:rFonts w:cs="Arial"/>
                <w:b/>
                <w:bCs/>
                <w:sz w:val="22"/>
                <w:szCs w:val="22"/>
              </w:rPr>
              <w:t>Zjištění 2/V:</w:t>
            </w:r>
            <w:r w:rsidRPr="00EB2362">
              <w:rPr>
                <w:rFonts w:cs="Arial"/>
                <w:sz w:val="22"/>
                <w:szCs w:val="22"/>
              </w:rPr>
              <w:t xml:space="preserve"> </w:t>
            </w:r>
            <w:r w:rsidR="00EB2362" w:rsidRPr="00EB2362">
              <w:rPr>
                <w:rFonts w:cs="Arial"/>
                <w:sz w:val="22"/>
                <w:szCs w:val="22"/>
              </w:rPr>
              <w:t xml:space="preserve">Nejsou stanoveny a popsány odpovědnosti, pravidla a postupy pro vydávání Pověření SGEI, stanovení parametrů pro výpočet výše vyrovnávací platby a její výpočet, nejsou stanoveny parametry a pravidla pro případné navýšení vyrovnávací platby. Nejsou stanoveny odpovědnosti, pravidla a popsány postupy pro hodnocení a kontrolu plnění </w:t>
            </w:r>
            <w:r w:rsidR="00EB2362" w:rsidRPr="00EB2362">
              <w:rPr>
                <w:rFonts w:cs="Arial"/>
                <w:sz w:val="22"/>
                <w:szCs w:val="22"/>
              </w:rPr>
              <w:lastRenderedPageBreak/>
              <w:t>povinností plynoucích z Pověření SGEI včetně vyhodnocování vyrovnávací platby.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4CE10D8" w14:textId="77777777" w:rsidR="00E629AE" w:rsidRPr="00EB2362" w:rsidRDefault="00E629AE" w:rsidP="00F82CC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B2362">
              <w:rPr>
                <w:rFonts w:cs="Arial"/>
                <w:b/>
                <w:bCs/>
                <w:sz w:val="22"/>
                <w:szCs w:val="22"/>
              </w:rPr>
              <w:lastRenderedPageBreak/>
              <w:t>Doporučení:</w:t>
            </w:r>
            <w:r w:rsidR="00EB236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EB2362" w:rsidRPr="00EB2362">
              <w:rPr>
                <w:rFonts w:cs="Arial"/>
                <w:sz w:val="22"/>
                <w:szCs w:val="22"/>
              </w:rPr>
              <w:t xml:space="preserve">Nastavit jednoznačně procesy </w:t>
            </w:r>
            <w:r w:rsidR="00EB2362">
              <w:rPr>
                <w:rFonts w:cs="Arial"/>
                <w:sz w:val="22"/>
                <w:szCs w:val="22"/>
              </w:rPr>
              <w:br/>
            </w:r>
            <w:r w:rsidR="00EB2362" w:rsidRPr="00EB2362">
              <w:rPr>
                <w:rFonts w:cs="Arial"/>
                <w:sz w:val="22"/>
                <w:szCs w:val="22"/>
              </w:rPr>
              <w:t xml:space="preserve">a postupy pro vydávání Pověření SGEI, stanovit jednoznačně parametry a postup pro výpočet výše vyrovnávací platby a její změny. Zavést postupy pro hodnocení a kontrolu povinností plynoucích z Pověření SGEI s možností využití benchmarkingu, zavést postupy pro kontrolu </w:t>
            </w:r>
            <w:r w:rsidR="00EB2362">
              <w:rPr>
                <w:rFonts w:cs="Arial"/>
                <w:sz w:val="22"/>
                <w:szCs w:val="22"/>
              </w:rPr>
              <w:br/>
            </w:r>
            <w:r w:rsidR="00EB2362" w:rsidRPr="00EB2362">
              <w:rPr>
                <w:rFonts w:cs="Arial"/>
                <w:sz w:val="22"/>
                <w:szCs w:val="22"/>
              </w:rPr>
              <w:t>a hodnocení vyrovnávací platby.</w:t>
            </w:r>
          </w:p>
        </w:tc>
      </w:tr>
      <w:tr w:rsidR="00E629AE" w:rsidRPr="0024788C" w14:paraId="28434F3F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025A9678" w14:textId="77777777" w:rsidR="00E629AE" w:rsidRPr="00DF059E" w:rsidRDefault="00E629AE" w:rsidP="00F82CC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Zjištění 3/V:</w:t>
            </w:r>
            <w:r w:rsidRPr="00DF059E">
              <w:rPr>
                <w:rFonts w:cs="Arial"/>
                <w:sz w:val="22"/>
                <w:szCs w:val="22"/>
              </w:rPr>
              <w:t xml:space="preserve"> </w:t>
            </w:r>
            <w:r w:rsidR="00EB2362" w:rsidRPr="00DF059E">
              <w:rPr>
                <w:rFonts w:cs="Arial"/>
                <w:sz w:val="22"/>
                <w:szCs w:val="22"/>
              </w:rPr>
              <w:t xml:space="preserve">Nejsou jednoznačně </w:t>
            </w:r>
            <w:r w:rsidR="00EB2362" w:rsidRPr="00DF059E">
              <w:rPr>
                <w:rFonts w:cs="Arial"/>
                <w:sz w:val="22"/>
                <w:szCs w:val="22"/>
              </w:rPr>
              <w:br/>
              <w:t xml:space="preserve">a srozumitelně popsány podmínky získání dotace a povinnosti pro žadatele a příjemce dotace, resp. poskytovatele sociálních služeb, včetně lhůt a podmínek financování, nejsou jasně a jednoznačně stanovena pravidla pro způsobilost výdajů, čímž je ohroženo naplňování kritérií hospodárnosti, účelnosti </w:t>
            </w:r>
            <w:r w:rsidR="00EB2362" w:rsidRPr="00DF059E">
              <w:rPr>
                <w:rFonts w:cs="Arial"/>
                <w:sz w:val="22"/>
                <w:szCs w:val="22"/>
              </w:rPr>
              <w:br/>
              <w:t>a efektivnosti. Příjemcům dotace není stanovena povinnost předkládat doklady prokazující čerpání dotace. Nejsou tedy dostatečně nastaveny mechanismy pro ověření způsobilosti skutečně realizovaných výdajů. Není nastavena kontrola dvojího financování.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684B3529" w14:textId="77777777" w:rsidR="00E629AE" w:rsidRPr="00DF059E" w:rsidRDefault="00E629A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="00EB2362" w:rsidRPr="00DF059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EB2362" w:rsidRPr="00DF059E">
              <w:rPr>
                <w:rFonts w:cs="Arial"/>
                <w:sz w:val="22"/>
                <w:szCs w:val="22"/>
              </w:rPr>
              <w:t xml:space="preserve">Nastavit jednoznačně podmínky dotací a pravidla pro žadatele a příjemce dotace, zejména jasně a srozumitelně vymezit pravidla způsobilosti výdajů. Nastavit pravidla </w:t>
            </w:r>
            <w:r w:rsidR="00EB2362" w:rsidRPr="00DF059E">
              <w:rPr>
                <w:rFonts w:cs="Arial"/>
                <w:sz w:val="22"/>
                <w:szCs w:val="22"/>
              </w:rPr>
              <w:br/>
              <w:t>a postupy pro administrativní ověření způsobilosti skutečně realizovaných výdajů. Zavést povinnost pro příjemce dotace předkládat nejpozději s vyúčtováním dotace soupisku dokladů k jednotlivým výdajům nárokovaným z dotace.</w:t>
            </w:r>
          </w:p>
        </w:tc>
      </w:tr>
      <w:tr w:rsidR="00EB2362" w:rsidRPr="0024788C" w14:paraId="6A6230AD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3943FD34" w14:textId="77777777" w:rsidR="00EB2362" w:rsidRPr="00DF059E" w:rsidRDefault="00EB2362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Zjištění 4/V:</w:t>
            </w:r>
            <w:r w:rsidRPr="00DF059E">
              <w:rPr>
                <w:rFonts w:cs="Arial"/>
                <w:sz w:val="22"/>
                <w:szCs w:val="22"/>
              </w:rPr>
              <w:t xml:space="preserve"> Proces dotace v oblasti poskytování sociálních služeb s nadregionální či celostátní působností není s přihlédnutím </w:t>
            </w:r>
            <w:r w:rsidRPr="00DF059E">
              <w:rPr>
                <w:rFonts w:cs="Arial"/>
                <w:sz w:val="22"/>
                <w:szCs w:val="22"/>
              </w:rPr>
              <w:br/>
              <w:t xml:space="preserve">k velikosti a složitosti programu dostatečně personálně zajištěn, není zajištěna zastupitelnost. Jsou vykonávány pouze nezbytně nutné úkony (např. administrativní kontrola není řádně zajištěna ve všech případech). Úkony nejsou realizovány </w:t>
            </w:r>
            <w:r w:rsidRPr="00DF059E">
              <w:rPr>
                <w:rFonts w:cs="Arial"/>
                <w:sz w:val="22"/>
                <w:szCs w:val="22"/>
              </w:rPr>
              <w:br/>
              <w:t>v předepsaných termínech.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0557B27" w14:textId="77777777" w:rsidR="00EB2362" w:rsidRPr="00DF059E" w:rsidRDefault="00EB2362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Pr="00DF059E">
              <w:rPr>
                <w:rFonts w:cs="Arial"/>
                <w:sz w:val="22"/>
                <w:szCs w:val="22"/>
              </w:rPr>
              <w:t xml:space="preserve"> </w:t>
            </w:r>
            <w:r w:rsidR="00DF059E" w:rsidRPr="00DF059E">
              <w:rPr>
                <w:rFonts w:cs="Arial"/>
                <w:sz w:val="22"/>
                <w:szCs w:val="22"/>
              </w:rPr>
              <w:t>Zajistit efektivní rozvržení případně navýšení personálních kapacit pro zajištění celého dotačního procesu.</w:t>
            </w:r>
          </w:p>
        </w:tc>
      </w:tr>
      <w:tr w:rsidR="00EB2362" w:rsidRPr="0024788C" w14:paraId="056A8507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53F24ED0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Zjištění 5/V:</w:t>
            </w:r>
            <w:r w:rsidRPr="00DF059E">
              <w:rPr>
                <w:rFonts w:cs="Arial"/>
                <w:sz w:val="22"/>
                <w:szCs w:val="22"/>
              </w:rPr>
              <w:t xml:space="preserve"> Nejsou stanovena jasná, dostatečně srozumitelná, jednoznačná, nediskriminační a transparentní kritéria pro hodnocení žádostí o poskytnutí dotace. Není zajištěno, aby hodnocení bylo prováděno konzistentním a nediskriminačním způsobem. Není popsáno, jak má hodnotitel uvedená kritéria hodnotit a následně vyjádřit kvalitu hodnoceného. Není zajištěna nezávislost hodnotitelů. Nejsou využívány kontrolní listy.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1C6745B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Pr="00DF059E">
              <w:rPr>
                <w:rFonts w:cs="Arial"/>
                <w:sz w:val="22"/>
                <w:szCs w:val="22"/>
              </w:rPr>
              <w:t xml:space="preserve"> Pro posuzování žádostí o dotace zavést kritéria hodnocení s využitím bodové škály, tzn. hodnocení maximálně objektivizovat. Zvážit možnost zajistit hodnocení prostřednictvím externích hodnotitelů. Zavést kontrolní listy pro hodnocení žádostí o dotaci </w:t>
            </w:r>
            <w:r w:rsidRPr="00DF059E">
              <w:rPr>
                <w:rFonts w:cs="Arial"/>
                <w:sz w:val="22"/>
                <w:szCs w:val="22"/>
              </w:rPr>
              <w:br/>
              <w:t>a popsat, jak má hodnotitel vyjádřit kvalitu hodnocené žádosti o dotaci.</w:t>
            </w:r>
          </w:p>
        </w:tc>
      </w:tr>
      <w:tr w:rsidR="00EB2362" w:rsidRPr="0024788C" w14:paraId="59A384A9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627E1955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Zjištění 6/V:</w:t>
            </w:r>
            <w:r w:rsidRPr="00DF059E">
              <w:rPr>
                <w:rFonts w:cs="Arial"/>
                <w:sz w:val="22"/>
                <w:szCs w:val="22"/>
              </w:rPr>
              <w:t xml:space="preserve"> Není prováděna dostatečná řídicí kontrola. Nastavené řídicí a kontrolní mechanismy MPSV nejsou dodržovány (např. chybí kontrola čtyř očí). Není pracováno </w:t>
            </w:r>
            <w:r w:rsidRPr="00DF059E">
              <w:rPr>
                <w:rFonts w:cs="Arial"/>
                <w:sz w:val="22"/>
                <w:szCs w:val="22"/>
              </w:rPr>
              <w:br/>
              <w:t>s identifikovanými riziky, v důsledku čehož došlo k významným zásahům jedné osoby do dotačního procesu, což představuje vysoké riziko podvodu a korupce.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A9ED023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Pr="00DF059E">
              <w:rPr>
                <w:rFonts w:cs="Arial"/>
                <w:sz w:val="22"/>
                <w:szCs w:val="22"/>
              </w:rPr>
              <w:t xml:space="preserve"> V celém procesu poskytování dotace zavést kontrolu čtyř očí, zajistit dodržování nastavených řídicích a kontrolních mechanismů. V rámci řízení rizik průběžně vyhodnocovat plnění nápravných opatření </w:t>
            </w:r>
            <w:r w:rsidRPr="00DF059E">
              <w:rPr>
                <w:rFonts w:cs="Arial"/>
                <w:sz w:val="22"/>
                <w:szCs w:val="22"/>
              </w:rPr>
              <w:br/>
              <w:t>k jejich eliminaci.</w:t>
            </w:r>
          </w:p>
        </w:tc>
      </w:tr>
      <w:tr w:rsidR="00EB2362" w:rsidRPr="0024788C" w14:paraId="5B4E6566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71253F34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Zjištění 7/V:</w:t>
            </w:r>
            <w:r w:rsidRPr="00DF059E">
              <w:rPr>
                <w:rFonts w:cs="Arial"/>
                <w:sz w:val="22"/>
                <w:szCs w:val="22"/>
              </w:rPr>
              <w:t xml:space="preserve"> Neexistuje dostatečná auditní stopa (audit </w:t>
            </w:r>
            <w:proofErr w:type="spellStart"/>
            <w:r w:rsidRPr="00DF059E">
              <w:rPr>
                <w:rFonts w:cs="Arial"/>
                <w:sz w:val="22"/>
                <w:szCs w:val="22"/>
              </w:rPr>
              <w:t>trail</w:t>
            </w:r>
            <w:proofErr w:type="spellEnd"/>
            <w:r w:rsidRPr="00DF059E">
              <w:rPr>
                <w:rFonts w:cs="Arial"/>
                <w:sz w:val="22"/>
                <w:szCs w:val="22"/>
              </w:rPr>
              <w:t xml:space="preserve">). Nejsou uchovávány dokumenty a doklady způsobilé jednoznačně prokázat, že prostředky dotace byly využity </w:t>
            </w:r>
            <w:r w:rsidRPr="00DF059E">
              <w:rPr>
                <w:rFonts w:cs="Arial"/>
                <w:sz w:val="22"/>
                <w:szCs w:val="22"/>
              </w:rPr>
              <w:br/>
              <w:t xml:space="preserve">v souladu s účelem, ke kterému byly poskytnuty. Nejsou detailně specifikovány dokumenty, které je nutno uchovávat, a určena odpovědnost za uchování takových dokumentů. Nejsou nastavena pravidla pro uchovávání zásadních dokumentů tak, aby k nim měly přístup všechny odpovědné osoby. Auditovaná strana nebyla schopna předložit všechny požadované dokumenty. Komunikace </w:t>
            </w:r>
            <w:r w:rsidRPr="00DF059E">
              <w:rPr>
                <w:rFonts w:cs="Arial"/>
                <w:sz w:val="22"/>
                <w:szCs w:val="22"/>
              </w:rPr>
              <w:br/>
              <w:t xml:space="preserve">s příjemcem dotace probíhá e-mailem nebo </w:t>
            </w:r>
            <w:r w:rsidRPr="00DF059E">
              <w:rPr>
                <w:rFonts w:cs="Arial"/>
                <w:sz w:val="22"/>
                <w:szCs w:val="22"/>
              </w:rPr>
              <w:lastRenderedPageBreak/>
              <w:t>telefonicky, nejsou maximálně využívány informační systémy (IS pro poskytování dotace, datové schránky), nejsou dodržována pravidla spisové služby.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3CF698BD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lastRenderedPageBreak/>
              <w:t>Doporučení:</w:t>
            </w:r>
            <w:r w:rsidRPr="00DF059E">
              <w:rPr>
                <w:rFonts w:cs="Arial"/>
                <w:sz w:val="22"/>
                <w:szCs w:val="22"/>
              </w:rPr>
              <w:t xml:space="preserve"> Nastavit pravidla a odpovědnosti pro uchovávání dokumentů. Nastavit pravidla pro komunikaci s příjemcem dotace tak, aby byly v maximální možné míře využívány informační systémy. Zajistit dodržování pravidel spisové služby.</w:t>
            </w:r>
          </w:p>
        </w:tc>
      </w:tr>
      <w:tr w:rsidR="00EB2362" w:rsidRPr="0024788C" w14:paraId="5A4CF488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6994D29E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Zjištění 8/V:</w:t>
            </w:r>
            <w:r w:rsidRPr="00DF059E">
              <w:rPr>
                <w:rFonts w:cs="Arial"/>
                <w:sz w:val="22"/>
                <w:szCs w:val="22"/>
              </w:rPr>
              <w:t xml:space="preserve"> Nejsou zavedena a řádně uplatňována vhodná opatření k odhalení varovných signálů podvodu a korupce. Korupční rizika nejsou objektivně vyhodnocována. Nejsou plněny povinnosti dle Interního protikorupčního programu ministerstva. Nejsou zavedeny účinné mechanismy k předcházení střetu zájmů.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D60EC11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 xml:space="preserve">Doporučení: </w:t>
            </w:r>
            <w:r w:rsidRPr="00DF059E">
              <w:rPr>
                <w:rFonts w:cs="Arial"/>
                <w:sz w:val="22"/>
                <w:szCs w:val="22"/>
              </w:rPr>
              <w:t xml:space="preserve">Zavést vhodná opatření </w:t>
            </w:r>
            <w:r w:rsidRPr="00DF059E">
              <w:rPr>
                <w:rFonts w:cs="Arial"/>
                <w:sz w:val="22"/>
                <w:szCs w:val="22"/>
              </w:rPr>
              <w:br/>
              <w:t xml:space="preserve">k odhalení varovných signálů podvodu </w:t>
            </w:r>
            <w:r w:rsidRPr="00DF059E">
              <w:rPr>
                <w:rFonts w:cs="Arial"/>
                <w:sz w:val="22"/>
                <w:szCs w:val="22"/>
              </w:rPr>
              <w:br/>
              <w:t>a korupce, zavést mechanismy k předcházení střetu zájmů. Zavést pravidelné vyhodnocování korupčních rizik.</w:t>
            </w:r>
          </w:p>
        </w:tc>
      </w:tr>
      <w:tr w:rsidR="00EB2362" w:rsidRPr="0024788C" w14:paraId="439BDA99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554DF3A0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Zjištění 9/SV:</w:t>
            </w:r>
            <w:r w:rsidRPr="00DF059E">
              <w:rPr>
                <w:rFonts w:cs="Arial"/>
                <w:sz w:val="22"/>
                <w:szCs w:val="22"/>
              </w:rPr>
              <w:t xml:space="preserve"> Prostředky dotace byly vyplaceny před vydáním rozhodnutí </w:t>
            </w:r>
            <w:r w:rsidRPr="00DF059E">
              <w:rPr>
                <w:rFonts w:cs="Arial"/>
                <w:sz w:val="22"/>
                <w:szCs w:val="22"/>
              </w:rPr>
              <w:br/>
              <w:t xml:space="preserve">o poskytnutí dotace, při výplatě prostředků dotace tedy nebylo postupováno v souladu s § 14 vyhlášky č. 416/2004 Sb., kterou se provádí zákon č. 320/2001 Sb., o finanční kontrole, Zásadami vlády pro poskytování dotací ze státního rozpočtu ČR nestátním neziskovým organizacím ústředními orgány státní správy </w:t>
            </w:r>
            <w:r w:rsidRPr="00DF059E">
              <w:rPr>
                <w:rFonts w:cs="Arial"/>
                <w:sz w:val="22"/>
                <w:szCs w:val="22"/>
              </w:rPr>
              <w:br/>
              <w:t>a Zásadami řídicí kontroly na MPSV.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2A882262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Pr="00DF059E">
              <w:rPr>
                <w:rFonts w:cs="Arial"/>
                <w:sz w:val="22"/>
                <w:szCs w:val="22"/>
              </w:rPr>
              <w:t xml:space="preserve"> Zajistit dodržování nastavených postupů pro výplatu prostředků dotace.</w:t>
            </w:r>
          </w:p>
        </w:tc>
      </w:tr>
      <w:tr w:rsidR="00EB2362" w:rsidRPr="0024788C" w14:paraId="2EDEFCE2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4D1E06FC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Zjištění 10/SV:</w:t>
            </w:r>
            <w:r w:rsidRPr="00DF059E">
              <w:rPr>
                <w:rFonts w:cs="Arial"/>
                <w:sz w:val="22"/>
                <w:szCs w:val="22"/>
              </w:rPr>
              <w:t xml:space="preserve"> Nejsou dostatečně </w:t>
            </w:r>
            <w:r w:rsidRPr="00DF059E">
              <w:rPr>
                <w:rFonts w:cs="Arial"/>
                <w:sz w:val="22"/>
                <w:szCs w:val="22"/>
              </w:rPr>
              <w:br/>
              <w:t xml:space="preserve">a jednoznačně nastaveny a popsány odpovědnosti, pravidla a postupy pro jednotlivé </w:t>
            </w:r>
            <w:proofErr w:type="spellStart"/>
            <w:r w:rsidRPr="00DF059E">
              <w:rPr>
                <w:rFonts w:cs="Arial"/>
                <w:sz w:val="22"/>
                <w:szCs w:val="22"/>
              </w:rPr>
              <w:t>subprocesy</w:t>
            </w:r>
            <w:proofErr w:type="spellEnd"/>
            <w:r w:rsidRPr="00DF059E">
              <w:rPr>
                <w:rFonts w:cs="Arial"/>
                <w:sz w:val="22"/>
                <w:szCs w:val="22"/>
              </w:rPr>
              <w:t xml:space="preserve"> a činnosti v rámci dotačního programu. Nejsou dostatečně nastavena pravidla, postupy a odpovědnosti pro hodnocení žádostí o dotaci. Nejsou dostatečně stanoveny lhůty pro jednotlivé činnosti v rámci dotačního programu. Nejsou stanoveny postupy pro monitorování. Pravidla, která jsou nastavena, nejsou dodržována. Není zajištěna transparentnost celého dotačního procesu.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3FEBE80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Pr="00DF059E">
              <w:rPr>
                <w:rFonts w:cs="Arial"/>
                <w:sz w:val="22"/>
                <w:szCs w:val="22"/>
              </w:rPr>
              <w:t xml:space="preserve"> Nastavit jednoznačně postupy </w:t>
            </w:r>
            <w:r w:rsidRPr="00DF059E">
              <w:rPr>
                <w:rFonts w:cs="Arial"/>
                <w:sz w:val="22"/>
                <w:szCs w:val="22"/>
              </w:rPr>
              <w:br/>
              <w:t>v rámci administrace dotace, a to až na úroveň jednotlivých činností, včetně stanovení pravomocí a odpovědností.</w:t>
            </w:r>
          </w:p>
        </w:tc>
      </w:tr>
      <w:tr w:rsidR="00EB2362" w:rsidRPr="0024788C" w14:paraId="68FC7C0D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3B982F69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Zjištění 11/SV:</w:t>
            </w:r>
            <w:r w:rsidRPr="00DF059E">
              <w:rPr>
                <w:rFonts w:cs="Arial"/>
                <w:sz w:val="22"/>
                <w:szCs w:val="22"/>
              </w:rPr>
              <w:t xml:space="preserve"> Nejsou zavedeny postupy pro vymáhání vratek a neoprávněně vyplacených částek. Nejsou aplikovány postupy dle § 14f zákona č. 218/2000 Sb., o rozpočtových pravidlech.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85FA9A8" w14:textId="77777777" w:rsidR="00EB2362" w:rsidRPr="00DF059E" w:rsidRDefault="00DF059E" w:rsidP="00F82CCD">
            <w:pPr>
              <w:rPr>
                <w:rFonts w:cs="Arial"/>
                <w:sz w:val="22"/>
                <w:szCs w:val="22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Pr="00DF059E">
              <w:rPr>
                <w:rFonts w:cs="Arial"/>
                <w:sz w:val="22"/>
                <w:szCs w:val="22"/>
              </w:rPr>
              <w:t xml:space="preserve"> Nastavit pravidla a postupy pro vymáhání vratek a neoprávněně vyplacených částek. Zajistit včasné vymáhání prostředků dle 14f zákona č. 218/2000 Sb., o rozpočtových pravidlech.</w:t>
            </w:r>
          </w:p>
        </w:tc>
      </w:tr>
      <w:tr w:rsidR="00E629AE" w:rsidRPr="0024788C" w14:paraId="01733A5A" w14:textId="77777777" w:rsidTr="00F82CCD">
        <w:trPr>
          <w:trHeight w:val="567"/>
        </w:trPr>
        <w:tc>
          <w:tcPr>
            <w:tcW w:w="9660" w:type="dxa"/>
            <w:gridSpan w:val="2"/>
            <w:shd w:val="clear" w:color="auto" w:fill="D9E2F3"/>
            <w:vAlign w:val="center"/>
          </w:tcPr>
          <w:p w14:paraId="392FFFC0" w14:textId="77777777" w:rsidR="00E629AE" w:rsidRPr="00DF059E" w:rsidRDefault="00E629AE" w:rsidP="00F82CCD">
            <w:pPr>
              <w:jc w:val="left"/>
              <w:rPr>
                <w:rFonts w:cs="Arial"/>
                <w:sz w:val="22"/>
                <w:szCs w:val="22"/>
                <w:lang w:val="x-none" w:eastAsia="x-none"/>
              </w:rPr>
            </w:pPr>
            <w:r w:rsidRPr="00DF059E">
              <w:rPr>
                <w:rFonts w:cs="Arial"/>
                <w:b/>
                <w:bCs/>
                <w:sz w:val="22"/>
                <w:szCs w:val="22"/>
              </w:rPr>
              <w:t>Schválená NO (</w:t>
            </w:r>
            <w:r w:rsidR="00DF059E" w:rsidRPr="00DF059E">
              <w:rPr>
                <w:rFonts w:cs="Arial"/>
                <w:b/>
                <w:bCs/>
                <w:sz w:val="22"/>
                <w:szCs w:val="22"/>
              </w:rPr>
              <w:t>11</w:t>
            </w:r>
            <w:r w:rsidRPr="00DF059E">
              <w:rPr>
                <w:rFonts w:cs="Arial"/>
                <w:b/>
                <w:bCs/>
                <w:sz w:val="22"/>
                <w:szCs w:val="22"/>
              </w:rPr>
              <w:t xml:space="preserve">) byla stanovena splnit do 31. </w:t>
            </w:r>
            <w:r w:rsidR="00DF059E" w:rsidRPr="00DF059E">
              <w:rPr>
                <w:rFonts w:cs="Arial"/>
                <w:b/>
                <w:bCs/>
                <w:sz w:val="22"/>
                <w:szCs w:val="22"/>
              </w:rPr>
              <w:t>12</w:t>
            </w:r>
            <w:r w:rsidRPr="00DF059E">
              <w:rPr>
                <w:rFonts w:cs="Arial"/>
                <w:b/>
                <w:bCs/>
                <w:sz w:val="22"/>
                <w:szCs w:val="22"/>
              </w:rPr>
              <w:t>. 202</w:t>
            </w:r>
            <w:r w:rsidR="00DF059E" w:rsidRPr="00DF059E">
              <w:rPr>
                <w:rFonts w:cs="Arial"/>
                <w:b/>
                <w:bCs/>
                <w:sz w:val="22"/>
                <w:szCs w:val="22"/>
              </w:rPr>
              <w:t>4</w:t>
            </w:r>
            <w:r w:rsidRPr="00DF059E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3C923AC1" w14:textId="77777777" w:rsidR="0037259C" w:rsidRPr="0024788C" w:rsidRDefault="0037259C" w:rsidP="005D4113">
      <w:pPr>
        <w:rPr>
          <w:rFonts w:cs="Arial"/>
          <w:highlight w:val="yellow"/>
          <w:lang w:val="x-none" w:eastAsia="x-none"/>
        </w:rPr>
      </w:pPr>
    </w:p>
    <w:tbl>
      <w:tblPr>
        <w:tblW w:w="966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1C061B" w:rsidRPr="0024788C" w14:paraId="1E33AE9A" w14:textId="77777777" w:rsidTr="008C1A45">
        <w:trPr>
          <w:trHeight w:val="555"/>
        </w:trPr>
        <w:tc>
          <w:tcPr>
            <w:tcW w:w="9660" w:type="dxa"/>
            <w:shd w:val="clear" w:color="auto" w:fill="FBE4D5"/>
          </w:tcPr>
          <w:p w14:paraId="50E4D076" w14:textId="34FF78C0" w:rsidR="001C061B" w:rsidRPr="00181E6A" w:rsidRDefault="00181E6A" w:rsidP="001B1A9B">
            <w:pPr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5</w:t>
            </w:r>
            <w:r w:rsidR="001C061B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/202</w:t>
            </w:r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3</w:t>
            </w:r>
            <w:r w:rsidR="001C061B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/12</w:t>
            </w:r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1</w:t>
            </w:r>
            <w:r w:rsidR="00016BB6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 xml:space="preserve"> - </w:t>
            </w:r>
            <w:proofErr w:type="spellStart"/>
            <w:r w:rsidR="00016BB6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A</w:t>
            </w:r>
            <w:r w:rsidR="008C1A45">
              <w:rPr>
                <w:rFonts w:cs="Arial"/>
                <w:b/>
                <w:bCs/>
                <w:sz w:val="22"/>
                <w:szCs w:val="22"/>
                <w:lang w:eastAsia="x-none"/>
              </w:rPr>
              <w:t>op</w:t>
            </w:r>
            <w:proofErr w:type="spellEnd"/>
          </w:p>
          <w:p w14:paraId="751E15B5" w14:textId="77777777" w:rsidR="001C061B" w:rsidRPr="0024788C" w:rsidRDefault="00181E6A" w:rsidP="001B1A9B">
            <w:pPr>
              <w:rPr>
                <w:rFonts w:cs="Arial"/>
                <w:sz w:val="22"/>
                <w:szCs w:val="22"/>
                <w:highlight w:val="yellow"/>
                <w:lang w:eastAsia="x-none"/>
              </w:rPr>
            </w:pPr>
            <w:r w:rsidRPr="00181E6A">
              <w:rPr>
                <w:rFonts w:cs="Arial"/>
                <w:sz w:val="22"/>
                <w:szCs w:val="22"/>
              </w:rPr>
              <w:t>Vnitřní řídicí a kontrolní systém - Smlouvy</w:t>
            </w:r>
          </w:p>
        </w:tc>
      </w:tr>
      <w:tr w:rsidR="00563C12" w:rsidRPr="0024788C" w14:paraId="16627A7E" w14:textId="77777777" w:rsidTr="008C1A45">
        <w:trPr>
          <w:trHeight w:val="549"/>
        </w:trPr>
        <w:tc>
          <w:tcPr>
            <w:tcW w:w="9660" w:type="dxa"/>
            <w:shd w:val="clear" w:color="auto" w:fill="auto"/>
            <w:vAlign w:val="center"/>
          </w:tcPr>
          <w:p w14:paraId="785956C3" w14:textId="77777777" w:rsidR="00563C12" w:rsidRPr="00181E6A" w:rsidRDefault="00563C12" w:rsidP="00563C12">
            <w:pPr>
              <w:jc w:val="left"/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 w:rsidRPr="00563C12">
              <w:rPr>
                <w:rFonts w:cs="Arial"/>
                <w:sz w:val="22"/>
                <w:szCs w:val="22"/>
              </w:rPr>
              <w:t>V rámci auditu nebyla identifikována žádná zjištění.</w:t>
            </w:r>
          </w:p>
        </w:tc>
      </w:tr>
      <w:tr w:rsidR="001C061B" w:rsidRPr="0024788C" w14:paraId="73E60A59" w14:textId="77777777" w:rsidTr="001C061B">
        <w:trPr>
          <w:trHeight w:val="567"/>
        </w:trPr>
        <w:tc>
          <w:tcPr>
            <w:tcW w:w="9660" w:type="dxa"/>
            <w:shd w:val="clear" w:color="auto" w:fill="D9E2F3"/>
            <w:vAlign w:val="center"/>
          </w:tcPr>
          <w:p w14:paraId="5B01ECCB" w14:textId="77777777" w:rsidR="001C061B" w:rsidRPr="0024788C" w:rsidRDefault="00563C12" w:rsidP="001B1A9B">
            <w:pPr>
              <w:jc w:val="left"/>
              <w:rPr>
                <w:rFonts w:cs="Arial"/>
                <w:sz w:val="22"/>
                <w:szCs w:val="22"/>
                <w:highlight w:val="yellow"/>
                <w:lang w:val="x-none" w:eastAsia="x-none"/>
              </w:rPr>
            </w:pPr>
            <w:r w:rsidRPr="00563C12">
              <w:rPr>
                <w:rFonts w:cs="Arial"/>
                <w:b/>
                <w:bCs/>
                <w:sz w:val="22"/>
                <w:szCs w:val="22"/>
              </w:rPr>
              <w:t>NO nebylo stanoveno.</w:t>
            </w:r>
          </w:p>
        </w:tc>
      </w:tr>
    </w:tbl>
    <w:p w14:paraId="5B27FA08" w14:textId="77777777" w:rsidR="00EE27BA" w:rsidRPr="0024788C" w:rsidRDefault="00EE27BA" w:rsidP="005D4113">
      <w:pPr>
        <w:rPr>
          <w:rFonts w:cs="Arial"/>
          <w:highlight w:val="yellow"/>
          <w:lang w:val="x-none" w:eastAsia="x-none"/>
        </w:rPr>
      </w:pPr>
    </w:p>
    <w:tbl>
      <w:tblPr>
        <w:tblW w:w="966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1C061B" w:rsidRPr="0024788C" w14:paraId="4D47CC39" w14:textId="77777777" w:rsidTr="001B1A9B">
        <w:trPr>
          <w:trHeight w:val="567"/>
        </w:trPr>
        <w:tc>
          <w:tcPr>
            <w:tcW w:w="9660" w:type="dxa"/>
            <w:shd w:val="clear" w:color="auto" w:fill="FBE4D5"/>
          </w:tcPr>
          <w:p w14:paraId="27AFEEEE" w14:textId="645A6C6F" w:rsidR="001C061B" w:rsidRPr="00181E6A" w:rsidRDefault="00181E6A" w:rsidP="001B1A9B">
            <w:pPr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6</w:t>
            </w:r>
            <w:r w:rsidR="001C061B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/202</w:t>
            </w:r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3</w:t>
            </w:r>
            <w:r w:rsidR="001C061B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/121</w:t>
            </w:r>
            <w:r w:rsidR="00016BB6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 xml:space="preserve"> - A</w:t>
            </w:r>
            <w:r w:rsidR="008C1A45">
              <w:rPr>
                <w:rFonts w:cs="Arial"/>
                <w:b/>
                <w:bCs/>
                <w:sz w:val="22"/>
                <w:szCs w:val="22"/>
                <w:lang w:eastAsia="x-none"/>
              </w:rPr>
              <w:t>s</w:t>
            </w:r>
          </w:p>
          <w:p w14:paraId="236DFB20" w14:textId="77777777" w:rsidR="001C061B" w:rsidRPr="0024788C" w:rsidRDefault="00181E6A" w:rsidP="001B1A9B">
            <w:pPr>
              <w:rPr>
                <w:rFonts w:cs="Arial"/>
                <w:sz w:val="22"/>
                <w:szCs w:val="22"/>
                <w:highlight w:val="yellow"/>
                <w:lang w:eastAsia="x-none"/>
              </w:rPr>
            </w:pPr>
            <w:r w:rsidRPr="00181E6A">
              <w:rPr>
                <w:rFonts w:cs="Arial"/>
                <w:sz w:val="22"/>
                <w:szCs w:val="22"/>
              </w:rPr>
              <w:t>Zřizovací listiny</w:t>
            </w:r>
          </w:p>
        </w:tc>
      </w:tr>
      <w:tr w:rsidR="001C061B" w:rsidRPr="0024788C" w14:paraId="009DB957" w14:textId="77777777" w:rsidTr="001B1A9B">
        <w:trPr>
          <w:trHeight w:val="567"/>
        </w:trPr>
        <w:tc>
          <w:tcPr>
            <w:tcW w:w="9660" w:type="dxa"/>
            <w:tcBorders>
              <w:bottom w:val="single" w:sz="4" w:space="0" w:color="auto"/>
            </w:tcBorders>
            <w:vAlign w:val="center"/>
          </w:tcPr>
          <w:p w14:paraId="56727921" w14:textId="77777777" w:rsidR="001C061B" w:rsidRPr="0024788C" w:rsidRDefault="001C061B" w:rsidP="001B1A9B">
            <w:pPr>
              <w:jc w:val="left"/>
              <w:rPr>
                <w:rFonts w:cs="Arial"/>
                <w:sz w:val="22"/>
                <w:szCs w:val="22"/>
                <w:highlight w:val="yellow"/>
                <w:lang w:val="x-none" w:eastAsia="x-none"/>
              </w:rPr>
            </w:pPr>
            <w:r w:rsidRPr="00563C12">
              <w:rPr>
                <w:rFonts w:cs="Arial"/>
                <w:sz w:val="22"/>
                <w:szCs w:val="22"/>
              </w:rPr>
              <w:t>V rámci auditu nebyla identifikována žádná závažná zjištění</w:t>
            </w:r>
            <w:r w:rsidR="00D03E47" w:rsidRPr="00563C12">
              <w:rPr>
                <w:rFonts w:cs="Arial"/>
                <w:sz w:val="22"/>
                <w:szCs w:val="22"/>
              </w:rPr>
              <w:t>.</w:t>
            </w:r>
          </w:p>
        </w:tc>
      </w:tr>
      <w:tr w:rsidR="001C061B" w:rsidRPr="0024788C" w14:paraId="37B81A43" w14:textId="77777777" w:rsidTr="001B1A9B">
        <w:trPr>
          <w:trHeight w:val="567"/>
        </w:trPr>
        <w:tc>
          <w:tcPr>
            <w:tcW w:w="9660" w:type="dxa"/>
            <w:shd w:val="clear" w:color="auto" w:fill="D9E2F3"/>
            <w:vAlign w:val="center"/>
          </w:tcPr>
          <w:p w14:paraId="3DDBE39F" w14:textId="77777777" w:rsidR="001C061B" w:rsidRPr="0024788C" w:rsidRDefault="009C63FA" w:rsidP="001B1A9B">
            <w:pPr>
              <w:jc w:val="left"/>
              <w:rPr>
                <w:rFonts w:cs="Arial"/>
                <w:sz w:val="22"/>
                <w:szCs w:val="22"/>
                <w:highlight w:val="yellow"/>
                <w:lang w:val="x-none" w:eastAsia="x-none"/>
              </w:rPr>
            </w:pPr>
            <w:r w:rsidRPr="00563C12">
              <w:rPr>
                <w:rFonts w:cs="Arial"/>
                <w:b/>
                <w:bCs/>
                <w:sz w:val="22"/>
                <w:szCs w:val="22"/>
              </w:rPr>
              <w:t>Schválen</w:t>
            </w:r>
            <w:r w:rsidR="00563C12" w:rsidRPr="00563C12">
              <w:rPr>
                <w:rFonts w:cs="Arial"/>
                <w:b/>
                <w:bCs/>
                <w:sz w:val="22"/>
                <w:szCs w:val="22"/>
              </w:rPr>
              <w:t>é</w:t>
            </w:r>
            <w:r w:rsidRPr="00563C1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1C061B" w:rsidRPr="00563C12">
              <w:rPr>
                <w:rFonts w:cs="Arial"/>
                <w:b/>
                <w:bCs/>
                <w:sz w:val="22"/>
                <w:szCs w:val="22"/>
              </w:rPr>
              <w:t>NO byl</w:t>
            </w:r>
            <w:r w:rsidR="00563C12" w:rsidRPr="00563C12">
              <w:rPr>
                <w:rFonts w:cs="Arial"/>
                <w:b/>
                <w:bCs/>
                <w:sz w:val="22"/>
                <w:szCs w:val="22"/>
              </w:rPr>
              <w:t>o</w:t>
            </w:r>
            <w:r w:rsidR="001C061B" w:rsidRPr="00563C12">
              <w:rPr>
                <w:rFonts w:cs="Arial"/>
                <w:b/>
                <w:bCs/>
                <w:sz w:val="22"/>
                <w:szCs w:val="22"/>
              </w:rPr>
              <w:t xml:space="preserve"> stanoven</w:t>
            </w:r>
            <w:r w:rsidR="00563C12" w:rsidRPr="00563C12">
              <w:rPr>
                <w:rFonts w:cs="Arial"/>
                <w:b/>
                <w:bCs/>
                <w:sz w:val="22"/>
                <w:szCs w:val="22"/>
              </w:rPr>
              <w:t>o</w:t>
            </w:r>
            <w:r w:rsidR="001C061B" w:rsidRPr="00563C12">
              <w:rPr>
                <w:rFonts w:cs="Arial"/>
                <w:b/>
                <w:bCs/>
                <w:sz w:val="22"/>
                <w:szCs w:val="22"/>
              </w:rPr>
              <w:t xml:space="preserve"> splnit do 31.</w:t>
            </w:r>
            <w:r w:rsidRPr="00563C1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1C061B" w:rsidRPr="00563C12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563C12" w:rsidRPr="00563C12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1C061B" w:rsidRPr="00563C12">
              <w:rPr>
                <w:rFonts w:cs="Arial"/>
                <w:b/>
                <w:bCs/>
                <w:sz w:val="22"/>
                <w:szCs w:val="22"/>
              </w:rPr>
              <w:t>.</w:t>
            </w:r>
            <w:r w:rsidRPr="00563C1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1C061B" w:rsidRPr="00563C12">
              <w:rPr>
                <w:rFonts w:cs="Arial"/>
                <w:b/>
                <w:bCs/>
                <w:sz w:val="22"/>
                <w:szCs w:val="22"/>
              </w:rPr>
              <w:t>2022</w:t>
            </w:r>
            <w:r w:rsidR="00787104" w:rsidRPr="00563C12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1C061B" w:rsidRPr="00563C1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787104" w:rsidRPr="00563C12">
              <w:rPr>
                <w:rFonts w:cs="Arial"/>
                <w:b/>
                <w:bCs/>
                <w:sz w:val="22"/>
                <w:szCs w:val="22"/>
              </w:rPr>
              <w:t>B</w:t>
            </w:r>
            <w:r w:rsidR="001C061B" w:rsidRPr="00563C12">
              <w:rPr>
                <w:rFonts w:cs="Arial"/>
                <w:b/>
                <w:bCs/>
                <w:sz w:val="22"/>
                <w:szCs w:val="22"/>
              </w:rPr>
              <w:t>yl</w:t>
            </w:r>
            <w:r w:rsidR="00563C12" w:rsidRPr="00563C12">
              <w:rPr>
                <w:rFonts w:cs="Arial"/>
                <w:b/>
                <w:bCs/>
                <w:sz w:val="22"/>
                <w:szCs w:val="22"/>
              </w:rPr>
              <w:t>o</w:t>
            </w:r>
            <w:r w:rsidR="001C061B" w:rsidRPr="00563C12">
              <w:rPr>
                <w:rFonts w:cs="Arial"/>
                <w:b/>
                <w:bCs/>
                <w:sz w:val="22"/>
                <w:szCs w:val="22"/>
              </w:rPr>
              <w:t xml:space="preserve"> splněn</w:t>
            </w:r>
            <w:r w:rsidR="00563C12" w:rsidRPr="00563C12">
              <w:rPr>
                <w:rFonts w:cs="Arial"/>
                <w:b/>
                <w:bCs/>
                <w:sz w:val="22"/>
                <w:szCs w:val="22"/>
              </w:rPr>
              <w:t>o</w:t>
            </w:r>
            <w:r w:rsidR="00D03E47" w:rsidRPr="00563C12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2CD456EE" w14:textId="77777777" w:rsidR="00EE27BA" w:rsidRPr="0024788C" w:rsidRDefault="00EE27BA" w:rsidP="005D4113">
      <w:pPr>
        <w:rPr>
          <w:rFonts w:cs="Arial"/>
          <w:highlight w:val="yellow"/>
          <w:lang w:val="x-none" w:eastAsia="x-none"/>
        </w:rPr>
      </w:pPr>
    </w:p>
    <w:tbl>
      <w:tblPr>
        <w:tblW w:w="966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623DF6" w:rsidRPr="0024788C" w14:paraId="6A8BFC86" w14:textId="77777777" w:rsidTr="001B1A9B">
        <w:trPr>
          <w:trHeight w:val="567"/>
        </w:trPr>
        <w:tc>
          <w:tcPr>
            <w:tcW w:w="9660" w:type="dxa"/>
            <w:gridSpan w:val="2"/>
            <w:shd w:val="clear" w:color="auto" w:fill="FBE4D5"/>
          </w:tcPr>
          <w:p w14:paraId="6917B316" w14:textId="7F5E60DB" w:rsidR="00623DF6" w:rsidRPr="00181E6A" w:rsidRDefault="00181E6A" w:rsidP="001B1A9B">
            <w:pPr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lastRenderedPageBreak/>
              <w:t>7</w:t>
            </w:r>
            <w:r w:rsidR="00623DF6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/202</w:t>
            </w:r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3</w:t>
            </w:r>
            <w:r w:rsidR="00623DF6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/12</w:t>
            </w:r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1</w:t>
            </w:r>
            <w:r w:rsidR="00AE561E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 xml:space="preserve"> - </w:t>
            </w:r>
            <w:proofErr w:type="spellStart"/>
            <w:r w:rsidR="00AE561E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A</w:t>
            </w:r>
            <w:r w:rsidR="008C1A45">
              <w:rPr>
                <w:rFonts w:cs="Arial"/>
                <w:b/>
                <w:bCs/>
                <w:sz w:val="22"/>
                <w:szCs w:val="22"/>
                <w:lang w:eastAsia="x-none"/>
              </w:rPr>
              <w:t>op</w:t>
            </w:r>
            <w:proofErr w:type="spellEnd"/>
          </w:p>
          <w:p w14:paraId="4D3E4FE6" w14:textId="77777777" w:rsidR="00623DF6" w:rsidRPr="0024788C" w:rsidRDefault="00181E6A" w:rsidP="001B1A9B">
            <w:pPr>
              <w:rPr>
                <w:rFonts w:cs="Arial"/>
                <w:sz w:val="22"/>
                <w:szCs w:val="22"/>
                <w:highlight w:val="yellow"/>
                <w:lang w:eastAsia="x-none"/>
              </w:rPr>
            </w:pPr>
            <w:r w:rsidRPr="00181E6A">
              <w:rPr>
                <w:rFonts w:cs="Arial"/>
                <w:sz w:val="22"/>
                <w:szCs w:val="22"/>
              </w:rPr>
              <w:t>Aplikace § 117d zákona o sociálních službách</w:t>
            </w:r>
          </w:p>
        </w:tc>
      </w:tr>
      <w:tr w:rsidR="00A83331" w:rsidRPr="0024788C" w14:paraId="4F4A5448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176395F2" w14:textId="77777777" w:rsidR="00A83331" w:rsidRPr="00A83331" w:rsidRDefault="00A83331" w:rsidP="00F82CC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83331">
              <w:rPr>
                <w:rFonts w:cs="Arial"/>
                <w:b/>
                <w:bCs/>
                <w:sz w:val="22"/>
                <w:szCs w:val="22"/>
              </w:rPr>
              <w:t>Zjištění 1/SV:</w:t>
            </w:r>
            <w:r w:rsidRPr="00A83331">
              <w:rPr>
                <w:rFonts w:cs="Arial"/>
                <w:sz w:val="22"/>
                <w:szCs w:val="22"/>
              </w:rPr>
              <w:t xml:space="preserve"> Vnitřním předpisem není upraven proces řízení pro odejmutí akreditace vzdělávacímu zařízení a nejsou stanovena přesná kritéria pro její odejmutí. Akreditační komisi nejsou předkládány k posouzení </w:t>
            </w:r>
            <w:r w:rsidRPr="00A83331">
              <w:rPr>
                <w:rFonts w:cs="Arial"/>
                <w:sz w:val="22"/>
                <w:szCs w:val="22"/>
              </w:rPr>
              <w:br/>
              <w:t>a rozhodnutí zjištěné nedostatky z kontrol, které porušují §117a odst.3 a Akreditační komise není informována o přijatých nápravných opatření ke kontrolním zjištěním.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627C22A7" w14:textId="77777777" w:rsidR="00A83331" w:rsidRPr="00A83331" w:rsidRDefault="00A83331" w:rsidP="00F82CCD">
            <w:pPr>
              <w:rPr>
                <w:rFonts w:cs="Arial"/>
                <w:sz w:val="22"/>
                <w:szCs w:val="22"/>
              </w:rPr>
            </w:pPr>
            <w:r w:rsidRPr="00A83331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Pr="00A83331">
              <w:rPr>
                <w:rFonts w:cs="Arial"/>
                <w:sz w:val="22"/>
                <w:szCs w:val="22"/>
              </w:rPr>
              <w:t xml:space="preserve"> Ve vnitřním předpise stanovit přesná kritéria pro odejmutí akreditace a zavést povinnost informovat Akreditační komisi </w:t>
            </w:r>
            <w:r w:rsidRPr="00A83331">
              <w:rPr>
                <w:rFonts w:cs="Arial"/>
                <w:sz w:val="22"/>
                <w:szCs w:val="22"/>
              </w:rPr>
              <w:br/>
              <w:t xml:space="preserve">o nedostatcích zjištěných při kontrolní činnosti </w:t>
            </w:r>
            <w:r w:rsidRPr="00A83331">
              <w:rPr>
                <w:rFonts w:cs="Arial"/>
                <w:sz w:val="22"/>
                <w:szCs w:val="22"/>
              </w:rPr>
              <w:br/>
              <w:t>a o přijatých nápravných opatření.</w:t>
            </w:r>
          </w:p>
        </w:tc>
      </w:tr>
      <w:tr w:rsidR="00A83331" w:rsidRPr="0024788C" w14:paraId="43EAC155" w14:textId="77777777" w:rsidTr="00F82CCD">
        <w:trPr>
          <w:trHeight w:val="567"/>
        </w:trPr>
        <w:tc>
          <w:tcPr>
            <w:tcW w:w="9660" w:type="dxa"/>
            <w:gridSpan w:val="2"/>
            <w:shd w:val="clear" w:color="auto" w:fill="D9E2F3"/>
            <w:vAlign w:val="center"/>
          </w:tcPr>
          <w:p w14:paraId="71903268" w14:textId="77777777" w:rsidR="00A83331" w:rsidRPr="0024788C" w:rsidRDefault="00A83331" w:rsidP="00F82CCD">
            <w:pPr>
              <w:jc w:val="left"/>
              <w:rPr>
                <w:rFonts w:cs="Arial"/>
                <w:sz w:val="22"/>
                <w:szCs w:val="22"/>
                <w:highlight w:val="yellow"/>
                <w:lang w:val="x-none" w:eastAsia="x-none"/>
              </w:rPr>
            </w:pPr>
            <w:r w:rsidRPr="00A83331">
              <w:rPr>
                <w:rFonts w:cs="Arial"/>
                <w:b/>
                <w:bCs/>
                <w:sz w:val="22"/>
                <w:szCs w:val="22"/>
              </w:rPr>
              <w:t>Schválená NO (4) byla stanovena splnit do 31. 12. 2023. Byla splněna.</w:t>
            </w:r>
          </w:p>
        </w:tc>
      </w:tr>
    </w:tbl>
    <w:p w14:paraId="2007B5F8" w14:textId="77777777" w:rsidR="00EE27BA" w:rsidRPr="0024788C" w:rsidRDefault="00EE27BA" w:rsidP="005D4113">
      <w:pPr>
        <w:rPr>
          <w:rFonts w:cs="Arial"/>
          <w:highlight w:val="yellow"/>
          <w:lang w:val="x-none" w:eastAsia="x-none"/>
        </w:rPr>
      </w:pPr>
    </w:p>
    <w:tbl>
      <w:tblPr>
        <w:tblW w:w="966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60F74" w:rsidRPr="0024788C" w14:paraId="1E54E447" w14:textId="77777777" w:rsidTr="00260F74">
        <w:trPr>
          <w:trHeight w:val="567"/>
        </w:trPr>
        <w:tc>
          <w:tcPr>
            <w:tcW w:w="9660" w:type="dxa"/>
            <w:gridSpan w:val="2"/>
            <w:shd w:val="clear" w:color="auto" w:fill="FBE4D5"/>
          </w:tcPr>
          <w:p w14:paraId="62DCA7A2" w14:textId="16E80AEA" w:rsidR="00260F74" w:rsidRPr="00181E6A" w:rsidRDefault="00181E6A" w:rsidP="001B1A9B">
            <w:pPr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bookmarkStart w:id="19" w:name="_Hlk159929416"/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8</w:t>
            </w:r>
            <w:r w:rsidR="00260F74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/202</w:t>
            </w:r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3</w:t>
            </w:r>
            <w:r w:rsidR="00260F74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/12</w:t>
            </w:r>
            <w:r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>1</w:t>
            </w:r>
            <w:r w:rsidR="00AE561E" w:rsidRPr="00181E6A">
              <w:rPr>
                <w:rFonts w:cs="Arial"/>
                <w:b/>
                <w:bCs/>
                <w:sz w:val="22"/>
                <w:szCs w:val="22"/>
                <w:lang w:eastAsia="x-none"/>
              </w:rPr>
              <w:t xml:space="preserve"> - A</w:t>
            </w:r>
            <w:r w:rsidR="008C1A45">
              <w:rPr>
                <w:rFonts w:cs="Arial"/>
                <w:b/>
                <w:bCs/>
                <w:sz w:val="22"/>
                <w:szCs w:val="22"/>
                <w:lang w:eastAsia="x-none"/>
              </w:rPr>
              <w:t>s</w:t>
            </w:r>
          </w:p>
          <w:p w14:paraId="4617E910" w14:textId="77777777" w:rsidR="00260F74" w:rsidRPr="0024788C" w:rsidRDefault="00181E6A" w:rsidP="001B1A9B">
            <w:pPr>
              <w:rPr>
                <w:rFonts w:cs="Arial"/>
                <w:sz w:val="22"/>
                <w:szCs w:val="22"/>
                <w:highlight w:val="yellow"/>
                <w:lang w:eastAsia="x-none"/>
              </w:rPr>
            </w:pPr>
            <w:r w:rsidRPr="00181E6A">
              <w:rPr>
                <w:rFonts w:cs="Arial"/>
                <w:sz w:val="22"/>
                <w:szCs w:val="22"/>
                <w:lang w:eastAsia="x-none"/>
              </w:rPr>
              <w:t>Dotace – sociální práce</w:t>
            </w:r>
          </w:p>
        </w:tc>
      </w:tr>
      <w:tr w:rsidR="006E2A0E" w:rsidRPr="0024788C" w14:paraId="7ADDF730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</w:tcPr>
          <w:p w14:paraId="39C64CFD" w14:textId="77777777" w:rsidR="006E2A0E" w:rsidRPr="006E2A0E" w:rsidRDefault="006E2A0E" w:rsidP="006E2A0E">
            <w:pPr>
              <w:rPr>
                <w:rFonts w:cs="Arial"/>
                <w:sz w:val="22"/>
                <w:szCs w:val="22"/>
              </w:rPr>
            </w:pPr>
            <w:bookmarkStart w:id="20" w:name="_Hlk159929142"/>
            <w:r w:rsidRPr="006E2A0E">
              <w:rPr>
                <w:rFonts w:cs="Arial"/>
                <w:b/>
                <w:bCs/>
                <w:sz w:val="22"/>
                <w:szCs w:val="22"/>
              </w:rPr>
              <w:t>Zjištění 1/SV:</w:t>
            </w:r>
            <w:r w:rsidRPr="006E2A0E">
              <w:rPr>
                <w:rFonts w:cs="Arial"/>
                <w:sz w:val="22"/>
                <w:szCs w:val="22"/>
              </w:rPr>
              <w:t xml:space="preserve"> Prostředky dotace byly vyplaceny před vydáním rozhodnutí </w:t>
            </w:r>
            <w:r w:rsidRPr="006E2A0E">
              <w:rPr>
                <w:rFonts w:cs="Arial"/>
                <w:sz w:val="22"/>
                <w:szCs w:val="22"/>
              </w:rPr>
              <w:br/>
              <w:t xml:space="preserve">o poskytnutí dotace, při výplatě prostředků dotace tedy nebylo postupováno v souladu s § 14 vyhlášky č. 416/2004 Sb., kterou se provádí zákon č. 320/2001 Sb., o finanční kontrole, Zásadami vlády pro poskytování dotací ze státního rozpočtu ČR nestátním neziskovým organizacím ústředními orgány státní správy </w:t>
            </w:r>
          </w:p>
          <w:p w14:paraId="07844D8C" w14:textId="77777777" w:rsidR="006E2A0E" w:rsidRPr="006E2A0E" w:rsidRDefault="006E2A0E" w:rsidP="006E2A0E">
            <w:pPr>
              <w:rPr>
                <w:rFonts w:cs="Arial"/>
                <w:sz w:val="22"/>
                <w:szCs w:val="22"/>
              </w:rPr>
            </w:pPr>
            <w:r w:rsidRPr="006E2A0E">
              <w:rPr>
                <w:rFonts w:cs="Arial"/>
                <w:sz w:val="22"/>
                <w:szCs w:val="22"/>
              </w:rPr>
              <w:t>a Zásadami řídicí kontroly na MPSV.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799F99D8" w14:textId="77777777" w:rsidR="006E2A0E" w:rsidRPr="006E2A0E" w:rsidRDefault="006E2A0E" w:rsidP="00F82CC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 xml:space="preserve">Doporučení: </w:t>
            </w:r>
            <w:r w:rsidRPr="006E2A0E">
              <w:rPr>
                <w:rFonts w:cs="Arial"/>
                <w:sz w:val="22"/>
                <w:szCs w:val="22"/>
              </w:rPr>
              <w:t>Zajistit dodržování nastavených postupů pro výplatu prostředků dotace.</w:t>
            </w:r>
          </w:p>
        </w:tc>
      </w:tr>
      <w:tr w:rsidR="006E2A0E" w:rsidRPr="0024788C" w14:paraId="0137CB25" w14:textId="77777777" w:rsidTr="00F82CCD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3060F93B" w14:textId="77777777" w:rsidR="006E2A0E" w:rsidRPr="006E2A0E" w:rsidRDefault="006E2A0E" w:rsidP="00F82CC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>Zjištění 2/SV:</w:t>
            </w:r>
            <w:r w:rsidRPr="006E2A0E">
              <w:rPr>
                <w:rFonts w:cs="Arial"/>
                <w:sz w:val="22"/>
                <w:szCs w:val="22"/>
              </w:rPr>
              <w:t xml:space="preserve"> Počet pracovníků na administraci agendy sociální práce je poddimenzovaný. Na administraci agendy je vyčleněn pouze </w:t>
            </w:r>
            <w:r w:rsidRPr="006E2A0E">
              <w:rPr>
                <w:rFonts w:cs="Arial"/>
                <w:sz w:val="22"/>
                <w:szCs w:val="22"/>
              </w:rPr>
              <w:br/>
              <w:t>1 pracovník, není tak zajištěna jeho zastupitelnost.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3460B9A" w14:textId="77777777" w:rsidR="006E2A0E" w:rsidRPr="006E2A0E" w:rsidRDefault="006E2A0E" w:rsidP="00F82CCD">
            <w:pPr>
              <w:rPr>
                <w:rFonts w:cs="Arial"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Pr="006E2A0E">
              <w:rPr>
                <w:rFonts w:cs="Arial"/>
                <w:sz w:val="22"/>
                <w:szCs w:val="22"/>
              </w:rPr>
              <w:t xml:space="preserve"> Zajistit dostatečnou personální kapacitu a zastupitelnost na administraci dotačního titulu.</w:t>
            </w:r>
          </w:p>
        </w:tc>
      </w:tr>
      <w:tr w:rsidR="006E2A0E" w:rsidRPr="0024788C" w14:paraId="420522C9" w14:textId="77777777" w:rsidTr="00F82CCD">
        <w:trPr>
          <w:trHeight w:val="567"/>
        </w:trPr>
        <w:tc>
          <w:tcPr>
            <w:tcW w:w="9660" w:type="dxa"/>
            <w:gridSpan w:val="2"/>
            <w:shd w:val="clear" w:color="auto" w:fill="D9E2F3"/>
            <w:vAlign w:val="center"/>
          </w:tcPr>
          <w:p w14:paraId="547906C2" w14:textId="77777777" w:rsidR="006E2A0E" w:rsidRPr="006E2A0E" w:rsidRDefault="006E2A0E" w:rsidP="00F82CCD">
            <w:pPr>
              <w:jc w:val="left"/>
              <w:rPr>
                <w:rFonts w:cs="Arial"/>
                <w:sz w:val="22"/>
                <w:szCs w:val="22"/>
                <w:lang w:val="x-none" w:eastAsia="x-none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>Schválen</w:t>
            </w:r>
            <w:r w:rsidR="00F253B0">
              <w:rPr>
                <w:rFonts w:cs="Arial"/>
                <w:b/>
                <w:bCs/>
                <w:sz w:val="22"/>
                <w:szCs w:val="22"/>
              </w:rPr>
              <w:t>é</w:t>
            </w:r>
            <w:r w:rsidRPr="006E2A0E">
              <w:rPr>
                <w:rFonts w:cs="Arial"/>
                <w:b/>
                <w:bCs/>
                <w:sz w:val="22"/>
                <w:szCs w:val="22"/>
              </w:rPr>
              <w:t xml:space="preserve"> NO k zjištění č. 1 bylo stanoveno splnit do 31. 5. 2024. Dle vyjádření auditované strany, NO ke zjištění č. 2 nelze splnit ze strany odd. 261, uvedené je v kompetenci vedení MPSV.</w:t>
            </w:r>
          </w:p>
        </w:tc>
      </w:tr>
      <w:bookmarkEnd w:id="19"/>
      <w:bookmarkEnd w:id="20"/>
    </w:tbl>
    <w:p w14:paraId="5A1443F2" w14:textId="77777777" w:rsidR="00623DF6" w:rsidRDefault="00623DF6" w:rsidP="005D4113">
      <w:pPr>
        <w:rPr>
          <w:rFonts w:cs="Arial"/>
          <w:highlight w:val="yellow"/>
          <w:lang w:val="x-none" w:eastAsia="x-none"/>
        </w:rPr>
      </w:pPr>
    </w:p>
    <w:tbl>
      <w:tblPr>
        <w:tblW w:w="966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60F74" w:rsidRPr="0024788C" w14:paraId="0450618D" w14:textId="77777777" w:rsidTr="00260F74">
        <w:trPr>
          <w:trHeight w:val="567"/>
        </w:trPr>
        <w:tc>
          <w:tcPr>
            <w:tcW w:w="9660" w:type="dxa"/>
            <w:gridSpan w:val="2"/>
            <w:shd w:val="clear" w:color="auto" w:fill="FBE4D5"/>
          </w:tcPr>
          <w:p w14:paraId="567F8D54" w14:textId="27BFA643" w:rsidR="00260F74" w:rsidRPr="00E629AE" w:rsidRDefault="00181E6A" w:rsidP="001B1A9B">
            <w:pPr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9</w:t>
            </w:r>
            <w:r w:rsidR="00260F74"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/202</w:t>
            </w:r>
            <w:r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3</w:t>
            </w:r>
            <w:r w:rsidR="00260F74"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/12</w:t>
            </w:r>
            <w:r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1</w:t>
            </w:r>
            <w:r w:rsidR="00AE561E"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 xml:space="preserve"> - </w:t>
            </w:r>
            <w:proofErr w:type="spellStart"/>
            <w:r w:rsidR="00AE561E"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A</w:t>
            </w:r>
            <w:r w:rsidR="008C1A45">
              <w:rPr>
                <w:rFonts w:cs="Arial"/>
                <w:b/>
                <w:bCs/>
                <w:sz w:val="22"/>
                <w:szCs w:val="22"/>
                <w:lang w:eastAsia="x-none"/>
              </w:rPr>
              <w:t>op</w:t>
            </w:r>
            <w:proofErr w:type="spellEnd"/>
          </w:p>
          <w:p w14:paraId="765DB75D" w14:textId="77777777" w:rsidR="00260F74" w:rsidRPr="0024788C" w:rsidRDefault="00181E6A" w:rsidP="001B1A9B">
            <w:pPr>
              <w:rPr>
                <w:rFonts w:cs="Arial"/>
                <w:sz w:val="22"/>
                <w:szCs w:val="22"/>
                <w:highlight w:val="yellow"/>
                <w:lang w:eastAsia="x-none"/>
              </w:rPr>
            </w:pPr>
            <w:r w:rsidRPr="00181E6A">
              <w:rPr>
                <w:rFonts w:cs="Arial"/>
                <w:sz w:val="22"/>
                <w:szCs w:val="22"/>
                <w:lang w:eastAsia="x-none"/>
              </w:rPr>
              <w:t>Vnitřní řídicí a kontrolní systém - Přímé objednávky na MPSV</w:t>
            </w:r>
          </w:p>
        </w:tc>
      </w:tr>
      <w:tr w:rsidR="00E927DB" w:rsidRPr="006E2A0E" w14:paraId="1892EAE3" w14:textId="77777777" w:rsidTr="00242156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1ABB0DF4" w14:textId="77777777" w:rsidR="00E927DB" w:rsidRPr="006E2A0E" w:rsidRDefault="00E927DB" w:rsidP="0024215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 xml:space="preserve">Zjištění </w:t>
            </w: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Pr="006E2A0E">
              <w:rPr>
                <w:rFonts w:cs="Arial"/>
                <w:b/>
                <w:bCs/>
                <w:sz w:val="22"/>
                <w:szCs w:val="22"/>
              </w:rPr>
              <w:t>/SV:</w:t>
            </w:r>
            <w:r w:rsidRPr="006E2A0E">
              <w:rPr>
                <w:rFonts w:cs="Arial"/>
                <w:sz w:val="22"/>
                <w:szCs w:val="22"/>
              </w:rPr>
              <w:t xml:space="preserve"> </w:t>
            </w:r>
            <w:r w:rsidRPr="00E927DB">
              <w:rPr>
                <w:rFonts w:cs="Arial"/>
                <w:sz w:val="22"/>
                <w:szCs w:val="22"/>
              </w:rPr>
              <w:t xml:space="preserve">U několika přímých objednávek z prověřovaného vzorku bylo zjištěno, že nebyla dodržena Instrukce č. 2/2020 Zásady pro posuzování, schvalování, evidenci, správu a uveřejňování smluv a nebyl naplněn zákon </w:t>
            </w:r>
            <w:r>
              <w:rPr>
                <w:rFonts w:cs="Arial"/>
                <w:sz w:val="22"/>
                <w:szCs w:val="22"/>
              </w:rPr>
              <w:br/>
            </w:r>
            <w:r w:rsidRPr="00E927DB">
              <w:rPr>
                <w:rFonts w:cs="Arial"/>
                <w:sz w:val="22"/>
                <w:szCs w:val="22"/>
              </w:rPr>
              <w:t xml:space="preserve">č. 340/2015, o zvláštních podmínkách účinnosti některých smluv, uveřejňování těchto smluv </w:t>
            </w:r>
            <w:r>
              <w:rPr>
                <w:rFonts w:cs="Arial"/>
                <w:sz w:val="22"/>
                <w:szCs w:val="22"/>
              </w:rPr>
              <w:br/>
            </w:r>
            <w:r w:rsidRPr="00E927DB">
              <w:rPr>
                <w:rFonts w:cs="Arial"/>
                <w:sz w:val="22"/>
                <w:szCs w:val="22"/>
              </w:rPr>
              <w:t>a o registru smluv, ve znění pozdějších předpisů, protože nebyly tyto přímé objednávky jako VZMR nad 50 tis. Kč bez DPH vloženy do evidence smluv a následně zveřejněny v registru smluv. Nezveřejněním takové VZMR dochází k neoprávněnému výdaji finančních prostředků.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513182B" w14:textId="77777777" w:rsidR="00E927DB" w:rsidRPr="006E2A0E" w:rsidRDefault="00E927DB" w:rsidP="00242156">
            <w:pPr>
              <w:rPr>
                <w:rFonts w:cs="Arial"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Pr="006E2A0E">
              <w:rPr>
                <w:rFonts w:cs="Arial"/>
                <w:sz w:val="22"/>
                <w:szCs w:val="22"/>
              </w:rPr>
              <w:t xml:space="preserve"> </w:t>
            </w:r>
            <w:r w:rsidRPr="00E927DB">
              <w:rPr>
                <w:rFonts w:cs="Arial"/>
                <w:sz w:val="22"/>
                <w:szCs w:val="22"/>
              </w:rPr>
              <w:t xml:space="preserve">Nastavit kontrolní mechanismy tak, aby nedocházelo k porušování právních předpisů, které se týkají zveřejňování VZMR nad 50 tis. Kč bez DPH v registru smluv.   </w:t>
            </w:r>
          </w:p>
        </w:tc>
      </w:tr>
      <w:tr w:rsidR="00E927DB" w:rsidRPr="00E927DB" w14:paraId="43A2B663" w14:textId="77777777" w:rsidTr="00E241AC">
        <w:trPr>
          <w:trHeight w:val="624"/>
        </w:trPr>
        <w:tc>
          <w:tcPr>
            <w:tcW w:w="9660" w:type="dxa"/>
            <w:gridSpan w:val="2"/>
            <w:shd w:val="clear" w:color="auto" w:fill="D9E2F3"/>
            <w:vAlign w:val="center"/>
          </w:tcPr>
          <w:p w14:paraId="5749C1F5" w14:textId="77777777" w:rsidR="00E927DB" w:rsidRPr="00E927DB" w:rsidRDefault="00E927DB" w:rsidP="00242156">
            <w:pPr>
              <w:jc w:val="left"/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 w:rsidRPr="00E927DB">
              <w:rPr>
                <w:rFonts w:cs="Arial"/>
                <w:b/>
                <w:bCs/>
                <w:sz w:val="22"/>
                <w:szCs w:val="22"/>
                <w:lang w:eastAsia="x-none"/>
              </w:rPr>
              <w:t>Návrh závěrečné zprávy b</w:t>
            </w:r>
            <w:r>
              <w:rPr>
                <w:rFonts w:cs="Arial"/>
                <w:b/>
                <w:bCs/>
                <w:sz w:val="22"/>
                <w:szCs w:val="22"/>
                <w:lang w:eastAsia="x-none"/>
              </w:rPr>
              <w:t xml:space="preserve">ude </w:t>
            </w:r>
            <w:r w:rsidRPr="00E927DB">
              <w:rPr>
                <w:rFonts w:cs="Arial"/>
                <w:b/>
                <w:bCs/>
                <w:sz w:val="22"/>
                <w:szCs w:val="22"/>
                <w:lang w:eastAsia="x-none"/>
              </w:rPr>
              <w:t>s auditovanou stranou projednán, nápravná opatření nebyla ministrem ještě uložena.</w:t>
            </w:r>
          </w:p>
        </w:tc>
      </w:tr>
    </w:tbl>
    <w:p w14:paraId="543BBA66" w14:textId="77777777" w:rsidR="00260F74" w:rsidRDefault="00260F74" w:rsidP="005D4113">
      <w:pPr>
        <w:rPr>
          <w:rFonts w:cs="Arial"/>
          <w:highlight w:val="yellow"/>
          <w:lang w:val="x-none" w:eastAsia="x-none"/>
        </w:rPr>
      </w:pPr>
    </w:p>
    <w:p w14:paraId="126AAB02" w14:textId="77777777" w:rsidR="006F5664" w:rsidRPr="0024788C" w:rsidRDefault="006F5664" w:rsidP="005D4113">
      <w:pPr>
        <w:rPr>
          <w:rFonts w:cs="Arial"/>
          <w:highlight w:val="yellow"/>
          <w:lang w:val="x-none" w:eastAsia="x-none"/>
        </w:rPr>
      </w:pPr>
    </w:p>
    <w:tbl>
      <w:tblPr>
        <w:tblW w:w="966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260F74" w:rsidRPr="0024788C" w14:paraId="30FB514F" w14:textId="77777777" w:rsidTr="00260F74">
        <w:trPr>
          <w:trHeight w:val="567"/>
        </w:trPr>
        <w:tc>
          <w:tcPr>
            <w:tcW w:w="9660" w:type="dxa"/>
            <w:shd w:val="clear" w:color="auto" w:fill="FBE4D5"/>
          </w:tcPr>
          <w:p w14:paraId="212F17F0" w14:textId="64BFA654" w:rsidR="00260F74" w:rsidRPr="00E629AE" w:rsidRDefault="00181E6A" w:rsidP="001B1A9B">
            <w:pPr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lastRenderedPageBreak/>
              <w:t>10</w:t>
            </w:r>
            <w:r w:rsidR="00260F74"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/202</w:t>
            </w:r>
            <w:r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3</w:t>
            </w:r>
            <w:r w:rsidR="00260F74"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/12</w:t>
            </w:r>
            <w:r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1</w:t>
            </w:r>
            <w:r w:rsidR="00C94A26"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 xml:space="preserve"> - A</w:t>
            </w:r>
            <w:r w:rsidR="008C1A45">
              <w:rPr>
                <w:rFonts w:cs="Arial"/>
                <w:b/>
                <w:bCs/>
                <w:sz w:val="22"/>
                <w:szCs w:val="22"/>
                <w:lang w:eastAsia="x-none"/>
              </w:rPr>
              <w:t>s</w:t>
            </w:r>
          </w:p>
          <w:p w14:paraId="26B60C1C" w14:textId="77777777" w:rsidR="00260F74" w:rsidRPr="0024788C" w:rsidRDefault="00E629AE" w:rsidP="001B1A9B">
            <w:pPr>
              <w:rPr>
                <w:rFonts w:cs="Arial"/>
                <w:sz w:val="22"/>
                <w:szCs w:val="22"/>
                <w:highlight w:val="yellow"/>
                <w:lang w:eastAsia="x-none"/>
              </w:rPr>
            </w:pPr>
            <w:r w:rsidRPr="00E629AE">
              <w:rPr>
                <w:rFonts w:cs="Arial"/>
                <w:sz w:val="22"/>
                <w:szCs w:val="22"/>
                <w:lang w:eastAsia="x-none"/>
              </w:rPr>
              <w:t>Kvalita řízení úřadu se zaměřením na vnitřní předpisy</w:t>
            </w:r>
          </w:p>
        </w:tc>
      </w:tr>
      <w:tr w:rsidR="00260F74" w:rsidRPr="0024788C" w14:paraId="0AE9195D" w14:textId="77777777" w:rsidTr="001B1A9B">
        <w:trPr>
          <w:trHeight w:val="567"/>
        </w:trPr>
        <w:tc>
          <w:tcPr>
            <w:tcW w:w="9660" w:type="dxa"/>
            <w:tcBorders>
              <w:bottom w:val="single" w:sz="4" w:space="0" w:color="auto"/>
            </w:tcBorders>
            <w:vAlign w:val="center"/>
          </w:tcPr>
          <w:p w14:paraId="346B13F3" w14:textId="77777777" w:rsidR="00260F74" w:rsidRPr="00C4252A" w:rsidRDefault="00260F74" w:rsidP="001B1A9B">
            <w:pPr>
              <w:jc w:val="left"/>
              <w:rPr>
                <w:rFonts w:cs="Arial"/>
                <w:sz w:val="22"/>
                <w:szCs w:val="22"/>
                <w:lang w:val="x-none" w:eastAsia="x-none"/>
              </w:rPr>
            </w:pPr>
            <w:r w:rsidRPr="00C4252A">
              <w:rPr>
                <w:rFonts w:cs="Arial"/>
                <w:sz w:val="22"/>
                <w:szCs w:val="22"/>
              </w:rPr>
              <w:t>V rámci auditu nebyla identifikována žádná závažná zjištění</w:t>
            </w:r>
            <w:r w:rsidR="007378DB" w:rsidRPr="00C4252A">
              <w:rPr>
                <w:rFonts w:cs="Arial"/>
                <w:sz w:val="22"/>
                <w:szCs w:val="22"/>
              </w:rPr>
              <w:t>.</w:t>
            </w:r>
          </w:p>
        </w:tc>
      </w:tr>
      <w:tr w:rsidR="00260F74" w:rsidRPr="0024788C" w14:paraId="35EE8558" w14:textId="77777777" w:rsidTr="00260F74">
        <w:trPr>
          <w:trHeight w:val="567"/>
        </w:trPr>
        <w:tc>
          <w:tcPr>
            <w:tcW w:w="9660" w:type="dxa"/>
            <w:shd w:val="clear" w:color="auto" w:fill="D9E2F3"/>
            <w:vAlign w:val="center"/>
          </w:tcPr>
          <w:p w14:paraId="2B7EAE39" w14:textId="77777777" w:rsidR="00260F74" w:rsidRPr="00C4252A" w:rsidRDefault="00C4252A" w:rsidP="001B1A9B">
            <w:pPr>
              <w:jc w:val="left"/>
              <w:rPr>
                <w:rFonts w:cs="Arial"/>
                <w:sz w:val="22"/>
                <w:szCs w:val="22"/>
                <w:lang w:val="x-none" w:eastAsia="x-none"/>
              </w:rPr>
            </w:pPr>
            <w:r w:rsidRPr="00C4252A">
              <w:rPr>
                <w:rFonts w:cs="Arial"/>
                <w:b/>
                <w:bCs/>
                <w:sz w:val="22"/>
                <w:szCs w:val="22"/>
              </w:rPr>
              <w:t xml:space="preserve">Schválená NO (4) byla stanovena splnit do 31. 5. 2024. </w:t>
            </w:r>
          </w:p>
        </w:tc>
      </w:tr>
    </w:tbl>
    <w:p w14:paraId="1A7E4322" w14:textId="77777777" w:rsidR="00260F74" w:rsidRPr="0024788C" w:rsidRDefault="00260F74" w:rsidP="005D4113">
      <w:pPr>
        <w:rPr>
          <w:rFonts w:cs="Arial"/>
          <w:highlight w:val="yellow"/>
          <w:lang w:val="x-none" w:eastAsia="x-none"/>
        </w:rPr>
      </w:pPr>
    </w:p>
    <w:tbl>
      <w:tblPr>
        <w:tblW w:w="966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60F74" w:rsidRPr="0024788C" w14:paraId="0C00B9A6" w14:textId="77777777" w:rsidTr="00260F74">
        <w:trPr>
          <w:trHeight w:val="567"/>
        </w:trPr>
        <w:tc>
          <w:tcPr>
            <w:tcW w:w="9660" w:type="dxa"/>
            <w:gridSpan w:val="2"/>
            <w:shd w:val="clear" w:color="auto" w:fill="FBE4D5"/>
          </w:tcPr>
          <w:p w14:paraId="78E231BC" w14:textId="0E011548" w:rsidR="00260F74" w:rsidRPr="00E629AE" w:rsidRDefault="00181E6A" w:rsidP="001B1A9B">
            <w:pPr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11</w:t>
            </w:r>
            <w:r w:rsidR="00260F74"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/202</w:t>
            </w:r>
            <w:r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3</w:t>
            </w:r>
            <w:r w:rsidR="00260F74"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/12</w:t>
            </w:r>
            <w:r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1</w:t>
            </w:r>
            <w:r w:rsidR="00CB61B0"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 xml:space="preserve"> - </w:t>
            </w:r>
            <w:proofErr w:type="spellStart"/>
            <w:r w:rsidR="00CB61B0" w:rsidRPr="00E629AE">
              <w:rPr>
                <w:rFonts w:cs="Arial"/>
                <w:b/>
                <w:bCs/>
                <w:sz w:val="22"/>
                <w:szCs w:val="22"/>
                <w:lang w:eastAsia="x-none"/>
              </w:rPr>
              <w:t>A</w:t>
            </w:r>
            <w:r w:rsidR="008C1A45">
              <w:rPr>
                <w:rFonts w:cs="Arial"/>
                <w:b/>
                <w:bCs/>
                <w:sz w:val="22"/>
                <w:szCs w:val="22"/>
                <w:lang w:eastAsia="x-none"/>
              </w:rPr>
              <w:t>op</w:t>
            </w:r>
            <w:proofErr w:type="spellEnd"/>
          </w:p>
          <w:p w14:paraId="189AF6F4" w14:textId="77777777" w:rsidR="00260F74" w:rsidRPr="0024788C" w:rsidRDefault="00E629AE" w:rsidP="001B1A9B">
            <w:pPr>
              <w:rPr>
                <w:rFonts w:cs="Arial"/>
                <w:sz w:val="22"/>
                <w:szCs w:val="22"/>
                <w:highlight w:val="yellow"/>
                <w:lang w:eastAsia="x-none"/>
              </w:rPr>
            </w:pPr>
            <w:r w:rsidRPr="00E629AE">
              <w:rPr>
                <w:rFonts w:cs="Arial"/>
                <w:sz w:val="22"/>
                <w:szCs w:val="22"/>
              </w:rPr>
              <w:t>Stížnosti a petice I.</w:t>
            </w:r>
          </w:p>
        </w:tc>
      </w:tr>
      <w:tr w:rsidR="00EA00BA" w:rsidRPr="006E2A0E" w14:paraId="232C35DB" w14:textId="77777777" w:rsidTr="00242156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</w:tcPr>
          <w:p w14:paraId="12DEC1F7" w14:textId="77777777" w:rsidR="00EA00BA" w:rsidRPr="006E2A0E" w:rsidRDefault="00EA00BA" w:rsidP="00242156">
            <w:pPr>
              <w:rPr>
                <w:rFonts w:cs="Arial"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>Zjištění 1/SV:</w:t>
            </w:r>
            <w:r w:rsidRPr="006E2A0E">
              <w:rPr>
                <w:rFonts w:cs="Arial"/>
                <w:sz w:val="22"/>
                <w:szCs w:val="22"/>
              </w:rPr>
              <w:t xml:space="preserve"> </w:t>
            </w:r>
            <w:r w:rsidR="00E51567" w:rsidRPr="00E51567">
              <w:rPr>
                <w:rFonts w:cs="Arial"/>
                <w:sz w:val="22"/>
                <w:szCs w:val="22"/>
              </w:rPr>
              <w:t xml:space="preserve">Ve vzorku bylo nalezeno </w:t>
            </w:r>
            <w:r w:rsidR="00E51567">
              <w:rPr>
                <w:rFonts w:cs="Arial"/>
                <w:sz w:val="22"/>
                <w:szCs w:val="22"/>
              </w:rPr>
              <w:br/>
            </w:r>
            <w:r w:rsidR="00E51567" w:rsidRPr="00E51567">
              <w:rPr>
                <w:rFonts w:cs="Arial"/>
                <w:sz w:val="22"/>
                <w:szCs w:val="22"/>
              </w:rPr>
              <w:t xml:space="preserve">1 podání, které je podle obsahu žádost </w:t>
            </w:r>
            <w:r w:rsidR="00E51567">
              <w:rPr>
                <w:rFonts w:cs="Arial"/>
                <w:sz w:val="22"/>
                <w:szCs w:val="22"/>
              </w:rPr>
              <w:br/>
            </w:r>
            <w:r w:rsidR="00E51567" w:rsidRPr="00E51567">
              <w:rPr>
                <w:rFonts w:cs="Arial"/>
                <w:sz w:val="22"/>
                <w:szCs w:val="22"/>
              </w:rPr>
              <w:t xml:space="preserve">o ochranu před nečinností ÚP ČR dle § 80 SŘ, </w:t>
            </w:r>
            <w:r w:rsidR="00E51567">
              <w:rPr>
                <w:rFonts w:cs="Arial"/>
                <w:sz w:val="22"/>
                <w:szCs w:val="22"/>
              </w:rPr>
              <w:br/>
            </w:r>
            <w:r w:rsidR="00E51567" w:rsidRPr="00E51567">
              <w:rPr>
                <w:rFonts w:cs="Arial"/>
                <w:sz w:val="22"/>
                <w:szCs w:val="22"/>
              </w:rPr>
              <w:t xml:space="preserve">a další 3 podání jsou podle obsahu podnět k opatření na ochranu před nečinností. K jejich vyřízení nebyl O 75 příslušný. Namísto předání věcně příslušnému útvaru ministerstva byla tato podání bez dalšího předána ÚP ČR, z toho ve </w:t>
            </w:r>
            <w:r w:rsidR="00E51567">
              <w:rPr>
                <w:rFonts w:cs="Arial"/>
                <w:sz w:val="22"/>
                <w:szCs w:val="22"/>
              </w:rPr>
              <w:br/>
            </w:r>
            <w:r w:rsidR="00E51567" w:rsidRPr="00E51567">
              <w:rPr>
                <w:rFonts w:cs="Arial"/>
                <w:sz w:val="22"/>
                <w:szCs w:val="22"/>
              </w:rPr>
              <w:t>2 případech nebyl pisatel o předání ani informován. Dále v 1 jiném případě nebylo při vyřizování zohledněno, že pisatelka urguje nevyplacení dávek již potřetí, toto podání bylo bez dalšího předáno ÚP ČR, kopie vyřízení nebyla od ÚP ČR vyžádána a pisatelka nebyla o předání informována. V těchto případech MPSV nezjednalo nápravu nežádoucího stavu, kterou mu ukládá zákon, při ochraně občanů.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6C3DE1A" w14:textId="77777777" w:rsidR="00EA00BA" w:rsidRPr="006E2A0E" w:rsidRDefault="00EA00BA" w:rsidP="0024215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 xml:space="preserve">Doporučení: </w:t>
            </w:r>
            <w:r w:rsidR="00E51567" w:rsidRPr="00E51567">
              <w:rPr>
                <w:rFonts w:cs="Arial"/>
                <w:sz w:val="22"/>
                <w:szCs w:val="22"/>
              </w:rPr>
              <w:t>Věnovat zvýšenou pozornost vyhodnocení obsahu podání, ve kterých pisatel poukazuje na nečinnost v rámci správního řízení, či na nevyplácení dávek a volit odpovídající a vhodný postup k účinnému řešení. V případě předání jinému orgánu vždy pisatele informovat.</w:t>
            </w:r>
          </w:p>
        </w:tc>
      </w:tr>
      <w:tr w:rsidR="00EA00BA" w:rsidRPr="006E2A0E" w14:paraId="74A4EDAC" w14:textId="77777777" w:rsidTr="00242156">
        <w:trPr>
          <w:trHeight w:val="567"/>
        </w:trPr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14:paraId="721AE50D" w14:textId="77777777" w:rsidR="00EA00BA" w:rsidRPr="006E2A0E" w:rsidRDefault="00EA00BA" w:rsidP="00242156">
            <w:pPr>
              <w:rPr>
                <w:rFonts w:cs="Arial"/>
                <w:b/>
                <w:bCs/>
                <w:sz w:val="22"/>
                <w:szCs w:val="22"/>
              </w:rPr>
            </w:pPr>
            <w:bookmarkStart w:id="21" w:name="_Hlk159929321"/>
            <w:r w:rsidRPr="006E2A0E">
              <w:rPr>
                <w:rFonts w:cs="Arial"/>
                <w:b/>
                <w:bCs/>
                <w:sz w:val="22"/>
                <w:szCs w:val="22"/>
              </w:rPr>
              <w:t>Zjištění 2/SV:</w:t>
            </w:r>
            <w:r w:rsidRPr="006E2A0E">
              <w:rPr>
                <w:rFonts w:cs="Arial"/>
                <w:sz w:val="22"/>
                <w:szCs w:val="22"/>
              </w:rPr>
              <w:t xml:space="preserve"> </w:t>
            </w:r>
            <w:r w:rsidR="00E51567" w:rsidRPr="00E51567">
              <w:rPr>
                <w:rFonts w:cs="Arial"/>
                <w:sz w:val="22"/>
                <w:szCs w:val="22"/>
              </w:rPr>
              <w:t xml:space="preserve">V 1 případě bylo v souvislosti </w:t>
            </w:r>
            <w:r w:rsidR="00E51567">
              <w:rPr>
                <w:rFonts w:cs="Arial"/>
                <w:sz w:val="22"/>
                <w:szCs w:val="22"/>
              </w:rPr>
              <w:br/>
            </w:r>
            <w:r w:rsidR="00E51567" w:rsidRPr="00E51567">
              <w:rPr>
                <w:rFonts w:cs="Arial"/>
                <w:sz w:val="22"/>
                <w:szCs w:val="22"/>
              </w:rPr>
              <w:t xml:space="preserve">s nesprávným způsobem expedice zjištěno porušení povinné mlčenlivosti dle § 55 odst. </w:t>
            </w:r>
            <w:r w:rsidR="00E51567">
              <w:rPr>
                <w:rFonts w:cs="Arial"/>
                <w:sz w:val="22"/>
                <w:szCs w:val="22"/>
              </w:rPr>
              <w:br/>
            </w:r>
            <w:r w:rsidR="00E51567" w:rsidRPr="00E51567">
              <w:rPr>
                <w:rFonts w:cs="Arial"/>
                <w:sz w:val="22"/>
                <w:szCs w:val="22"/>
              </w:rPr>
              <w:t xml:space="preserve">1 zákona o pomoci v hmotné nouzi. Ve </w:t>
            </w:r>
            <w:r w:rsidR="00E51567">
              <w:rPr>
                <w:rFonts w:cs="Arial"/>
                <w:sz w:val="22"/>
                <w:szCs w:val="22"/>
              </w:rPr>
              <w:br/>
            </w:r>
            <w:r w:rsidR="00E51567" w:rsidRPr="00E51567">
              <w:rPr>
                <w:rFonts w:cs="Arial"/>
                <w:sz w:val="22"/>
                <w:szCs w:val="22"/>
              </w:rPr>
              <w:t xml:space="preserve">3 případech nebylo usnesení opatřeno všemi zákonnými náležitostmi dle § 69 odst. 1 SŘ. </w:t>
            </w:r>
            <w:r w:rsidR="00E51567">
              <w:rPr>
                <w:rFonts w:cs="Arial"/>
                <w:sz w:val="22"/>
                <w:szCs w:val="22"/>
              </w:rPr>
              <w:br/>
            </w:r>
            <w:r w:rsidR="00E51567" w:rsidRPr="00E51567">
              <w:rPr>
                <w:rFonts w:cs="Arial"/>
                <w:sz w:val="22"/>
                <w:szCs w:val="22"/>
              </w:rPr>
              <w:t xml:space="preserve">V 6 případech byla podání, která měla být </w:t>
            </w:r>
            <w:r w:rsidR="00E51567">
              <w:rPr>
                <w:rFonts w:cs="Arial"/>
                <w:sz w:val="22"/>
                <w:szCs w:val="22"/>
              </w:rPr>
              <w:br/>
            </w:r>
            <w:r w:rsidR="00E51567" w:rsidRPr="00E51567">
              <w:rPr>
                <w:rFonts w:cs="Arial"/>
                <w:sz w:val="22"/>
                <w:szCs w:val="22"/>
              </w:rPr>
              <w:t xml:space="preserve">z důvodu příslušnosti postoupena usnesením dle § 12 SŘ předána volnou formou a pisatel </w:t>
            </w:r>
            <w:r w:rsidR="00E51567">
              <w:rPr>
                <w:rFonts w:cs="Arial"/>
                <w:sz w:val="22"/>
                <w:szCs w:val="22"/>
              </w:rPr>
              <w:br/>
            </w:r>
            <w:r w:rsidR="00E51567" w:rsidRPr="00E51567">
              <w:rPr>
                <w:rFonts w:cs="Arial"/>
                <w:sz w:val="22"/>
                <w:szCs w:val="22"/>
              </w:rPr>
              <w:t>o předání nebyl informován. Způsob postupování podání je nejednotný, podání jsou postupována volnou formou či usnesením bez jasného klíče.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CD22367" w14:textId="77777777" w:rsidR="00EA00BA" w:rsidRPr="006E2A0E" w:rsidRDefault="00EA00BA" w:rsidP="00242156">
            <w:pPr>
              <w:rPr>
                <w:rFonts w:cs="Arial"/>
                <w:sz w:val="22"/>
                <w:szCs w:val="22"/>
              </w:rPr>
            </w:pPr>
            <w:r w:rsidRPr="006E2A0E">
              <w:rPr>
                <w:rFonts w:cs="Arial"/>
                <w:b/>
                <w:bCs/>
                <w:sz w:val="22"/>
                <w:szCs w:val="22"/>
              </w:rPr>
              <w:t>Doporučení:</w:t>
            </w:r>
            <w:r w:rsidRPr="006E2A0E">
              <w:rPr>
                <w:rFonts w:cs="Arial"/>
                <w:sz w:val="22"/>
                <w:szCs w:val="22"/>
              </w:rPr>
              <w:t xml:space="preserve"> </w:t>
            </w:r>
            <w:r w:rsidR="00E51567" w:rsidRPr="00E51567">
              <w:rPr>
                <w:rFonts w:cs="Arial"/>
                <w:sz w:val="22"/>
                <w:szCs w:val="22"/>
              </w:rPr>
              <w:t>Věnovat zvýšenou pozornost vyhodnocení obsahu podání a jeho náležitostem a volit režim a způsob vyřízení v souladu se zákonnými požadavky. Sjednotit v závislosti na režimu vyřízení způsob postupování a předávání podání.</w:t>
            </w:r>
          </w:p>
        </w:tc>
      </w:tr>
      <w:tr w:rsidR="00EA00BA" w:rsidRPr="006E2A0E" w14:paraId="6399E5F5" w14:textId="77777777" w:rsidTr="00E241AC">
        <w:trPr>
          <w:trHeight w:val="624"/>
        </w:trPr>
        <w:tc>
          <w:tcPr>
            <w:tcW w:w="9660" w:type="dxa"/>
            <w:gridSpan w:val="2"/>
            <w:shd w:val="clear" w:color="auto" w:fill="D9E2F3"/>
            <w:vAlign w:val="center"/>
          </w:tcPr>
          <w:p w14:paraId="763ED5B8" w14:textId="77777777" w:rsidR="00EA00BA" w:rsidRPr="00E927DB" w:rsidRDefault="00E927DB" w:rsidP="00242156">
            <w:pPr>
              <w:jc w:val="left"/>
              <w:rPr>
                <w:rFonts w:cs="Arial"/>
                <w:b/>
                <w:bCs/>
                <w:sz w:val="22"/>
                <w:szCs w:val="22"/>
                <w:lang w:eastAsia="x-none"/>
              </w:rPr>
            </w:pPr>
            <w:r w:rsidRPr="00E927DB">
              <w:rPr>
                <w:rFonts w:cs="Arial"/>
                <w:b/>
                <w:bCs/>
                <w:sz w:val="22"/>
                <w:szCs w:val="22"/>
                <w:lang w:eastAsia="x-none"/>
              </w:rPr>
              <w:t>Návrh závěrečné zprávy byl s auditovanou stranou projednán, nápravná opatření nebyla ministrem ještě uložena.</w:t>
            </w:r>
          </w:p>
        </w:tc>
      </w:tr>
      <w:bookmarkEnd w:id="21"/>
    </w:tbl>
    <w:p w14:paraId="2217DA6C" w14:textId="77777777" w:rsidR="00260F74" w:rsidRPr="0024788C" w:rsidRDefault="00260F74" w:rsidP="005D4113">
      <w:pPr>
        <w:rPr>
          <w:rFonts w:cs="Arial"/>
          <w:highlight w:val="yellow"/>
          <w:lang w:val="x-none" w:eastAsia="x-none"/>
        </w:rPr>
      </w:pPr>
    </w:p>
    <w:p w14:paraId="082322BA" w14:textId="77777777" w:rsidR="00BC0C0F" w:rsidRPr="0024788C" w:rsidRDefault="00BC0C0F" w:rsidP="005D4113">
      <w:pPr>
        <w:rPr>
          <w:rFonts w:cs="Arial"/>
          <w:highlight w:val="yellow"/>
          <w:lang w:val="x-none" w:eastAsia="x-none"/>
        </w:rPr>
      </w:pPr>
    </w:p>
    <w:p w14:paraId="46F7E39B" w14:textId="77777777" w:rsidR="008762FF" w:rsidRPr="0024788C" w:rsidRDefault="008762FF" w:rsidP="005D4113">
      <w:pPr>
        <w:rPr>
          <w:rFonts w:cs="Arial"/>
          <w:highlight w:val="yellow"/>
          <w:lang w:val="x-none" w:eastAsia="x-none"/>
        </w:rPr>
      </w:pPr>
    </w:p>
    <w:p w14:paraId="2EE38754" w14:textId="77777777" w:rsidR="008743FA" w:rsidRDefault="008743FA" w:rsidP="005D4113">
      <w:pPr>
        <w:rPr>
          <w:rFonts w:cs="Arial"/>
          <w:lang w:val="x-none" w:eastAsia="x-none"/>
        </w:rPr>
      </w:pPr>
    </w:p>
    <w:p w14:paraId="69CB6912" w14:textId="77777777" w:rsidR="00380DD4" w:rsidRDefault="00380DD4" w:rsidP="003B5EE8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3B8AC349" w14:textId="77777777" w:rsidR="006F5664" w:rsidRDefault="006F5664" w:rsidP="003B5EE8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5572A900" w14:textId="77777777" w:rsidR="006F5664" w:rsidRDefault="006F5664" w:rsidP="003B5EE8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2ACA4AE7" w14:textId="77777777" w:rsidR="006F5664" w:rsidRDefault="006F5664" w:rsidP="003B5EE8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2DA85AF5" w14:textId="77777777" w:rsidR="006F5664" w:rsidRDefault="006F5664" w:rsidP="003B5EE8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2EB63715" w14:textId="77777777" w:rsidR="006F5664" w:rsidRDefault="006F5664" w:rsidP="003B5EE8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1F6BDE72" w14:textId="77777777" w:rsidR="006F5664" w:rsidRDefault="006F5664" w:rsidP="003B5EE8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08418FA3" w14:textId="77777777" w:rsidR="00A702BE" w:rsidRPr="00671471" w:rsidRDefault="00A702BE" w:rsidP="00671471">
      <w:pPr>
        <w:pStyle w:val="Nadpis1"/>
      </w:pPr>
      <w:bookmarkStart w:id="22" w:name="_Toc192390554"/>
      <w:bookmarkStart w:id="23" w:name="_Toc254774749"/>
      <w:bookmarkStart w:id="24" w:name="_Toc160019386"/>
      <w:r w:rsidRPr="00671471">
        <w:lastRenderedPageBreak/>
        <w:t>HODNOCENÍ PLNĚNÍ ULOŽENÝCH NÁPRAVNÝCH OPATŘENÍ</w:t>
      </w:r>
      <w:bookmarkEnd w:id="22"/>
      <w:bookmarkEnd w:id="23"/>
      <w:bookmarkEnd w:id="24"/>
    </w:p>
    <w:p w14:paraId="563019FC" w14:textId="77777777" w:rsidR="00A702BE" w:rsidRPr="00207545" w:rsidRDefault="00A702BE" w:rsidP="00577472">
      <w:pPr>
        <w:pStyle w:val="Zkladntextodsazen2"/>
        <w:ind w:firstLine="0"/>
        <w:rPr>
          <w:rFonts w:cs="Arial"/>
          <w:sz w:val="32"/>
          <w:szCs w:val="32"/>
        </w:rPr>
      </w:pPr>
    </w:p>
    <w:p w14:paraId="0E61B41D" w14:textId="77777777" w:rsidR="00A702BE" w:rsidRPr="00207545" w:rsidRDefault="00A702BE" w:rsidP="00577472">
      <w:pPr>
        <w:pStyle w:val="Zkladntextodsazen2"/>
        <w:ind w:firstLine="0"/>
        <w:rPr>
          <w:rFonts w:cs="Arial"/>
          <w:szCs w:val="24"/>
        </w:rPr>
      </w:pPr>
      <w:r w:rsidRPr="00207545">
        <w:rPr>
          <w:rFonts w:cs="Arial"/>
          <w:szCs w:val="24"/>
        </w:rPr>
        <w:t>K Roční zprávě o vykonaných auditech za rok 20</w:t>
      </w:r>
      <w:r w:rsidR="00A67D82">
        <w:rPr>
          <w:rFonts w:cs="Arial"/>
          <w:szCs w:val="24"/>
        </w:rPr>
        <w:t>2</w:t>
      </w:r>
      <w:r w:rsidR="0024788C">
        <w:rPr>
          <w:rFonts w:cs="Arial"/>
          <w:szCs w:val="24"/>
        </w:rPr>
        <w:t>2</w:t>
      </w:r>
      <w:r w:rsidRPr="00207545">
        <w:rPr>
          <w:rFonts w:cs="Arial"/>
          <w:szCs w:val="24"/>
        </w:rPr>
        <w:t xml:space="preserve"> </w:t>
      </w:r>
      <w:r w:rsidR="00454876" w:rsidRPr="00207545">
        <w:rPr>
          <w:rFonts w:cs="Arial"/>
          <w:szCs w:val="24"/>
        </w:rPr>
        <w:t>ne</w:t>
      </w:r>
      <w:r w:rsidRPr="00207545">
        <w:rPr>
          <w:rFonts w:cs="Arial"/>
          <w:szCs w:val="24"/>
        </w:rPr>
        <w:t xml:space="preserve">byla </w:t>
      </w:r>
      <w:r w:rsidR="00A67D82">
        <w:rPr>
          <w:rFonts w:cs="Arial"/>
          <w:szCs w:val="24"/>
        </w:rPr>
        <w:t>ministr</w:t>
      </w:r>
      <w:r w:rsidR="0007738F">
        <w:rPr>
          <w:rFonts w:cs="Arial"/>
          <w:szCs w:val="24"/>
        </w:rPr>
        <w:t>em</w:t>
      </w:r>
      <w:r w:rsidR="00A67D82">
        <w:rPr>
          <w:rFonts w:cs="Arial"/>
          <w:szCs w:val="24"/>
        </w:rPr>
        <w:t xml:space="preserve"> </w:t>
      </w:r>
      <w:r w:rsidRPr="00207545">
        <w:rPr>
          <w:rFonts w:cs="Arial"/>
          <w:szCs w:val="24"/>
        </w:rPr>
        <w:t xml:space="preserve">uložena </w:t>
      </w:r>
      <w:r w:rsidR="00454876" w:rsidRPr="00207545">
        <w:rPr>
          <w:rFonts w:cs="Arial"/>
          <w:szCs w:val="24"/>
        </w:rPr>
        <w:t xml:space="preserve">žádná </w:t>
      </w:r>
      <w:r w:rsidRPr="00207545">
        <w:rPr>
          <w:rFonts w:cs="Arial"/>
          <w:szCs w:val="24"/>
        </w:rPr>
        <w:t>nápravná opatření</w:t>
      </w:r>
      <w:r w:rsidR="00BB3587">
        <w:rPr>
          <w:rFonts w:cs="Arial"/>
          <w:szCs w:val="24"/>
        </w:rPr>
        <w:t>.</w:t>
      </w:r>
      <w:r w:rsidR="0041491B" w:rsidRPr="00207545">
        <w:rPr>
          <w:rFonts w:cs="Arial"/>
          <w:szCs w:val="24"/>
        </w:rPr>
        <w:t xml:space="preserve"> </w:t>
      </w:r>
      <w:r w:rsidR="00BB3587">
        <w:rPr>
          <w:rFonts w:cs="Arial"/>
          <w:szCs w:val="24"/>
        </w:rPr>
        <w:t>Nápravná o</w:t>
      </w:r>
      <w:r w:rsidR="00454876" w:rsidRPr="00207545">
        <w:rPr>
          <w:rFonts w:cs="Arial"/>
          <w:szCs w:val="24"/>
        </w:rPr>
        <w:t>patření vyplýva</w:t>
      </w:r>
      <w:r w:rsidR="00BB3587">
        <w:rPr>
          <w:rFonts w:cs="Arial"/>
          <w:szCs w:val="24"/>
        </w:rPr>
        <w:t>la</w:t>
      </w:r>
      <w:r w:rsidR="00454876" w:rsidRPr="00207545">
        <w:rPr>
          <w:rFonts w:cs="Arial"/>
          <w:szCs w:val="24"/>
        </w:rPr>
        <w:t xml:space="preserve"> přímo z</w:t>
      </w:r>
      <w:r w:rsidR="006651D2" w:rsidRPr="00207545">
        <w:rPr>
          <w:rFonts w:cs="Arial"/>
          <w:szCs w:val="24"/>
        </w:rPr>
        <w:t xml:space="preserve"> </w:t>
      </w:r>
      <w:r w:rsidR="00454876" w:rsidRPr="00207545">
        <w:rPr>
          <w:rFonts w:cs="Arial"/>
          <w:szCs w:val="24"/>
        </w:rPr>
        <w:t>jednotlivých auditů, která byla splněna</w:t>
      </w:r>
      <w:r w:rsidR="008C0F97">
        <w:rPr>
          <w:rFonts w:cs="Arial"/>
          <w:szCs w:val="24"/>
        </w:rPr>
        <w:t xml:space="preserve"> (odbor 12 prováděl monitoring plnění NO)</w:t>
      </w:r>
      <w:r w:rsidR="005C1240" w:rsidRPr="00207545">
        <w:rPr>
          <w:rFonts w:cs="Arial"/>
          <w:szCs w:val="24"/>
        </w:rPr>
        <w:t>.</w:t>
      </w:r>
    </w:p>
    <w:p w14:paraId="55476EA9" w14:textId="77777777" w:rsidR="00A976A7" w:rsidRPr="00207545" w:rsidRDefault="00A976A7" w:rsidP="00247522">
      <w:pPr>
        <w:pStyle w:val="Zkladntextodsazen2"/>
        <w:ind w:left="357" w:hanging="357"/>
        <w:rPr>
          <w:rFonts w:cs="Arial"/>
          <w:b/>
          <w:sz w:val="32"/>
          <w:szCs w:val="32"/>
        </w:rPr>
      </w:pPr>
    </w:p>
    <w:p w14:paraId="306D3717" w14:textId="77777777" w:rsidR="00A702BE" w:rsidRPr="00207545" w:rsidRDefault="00A702BE" w:rsidP="00671471">
      <w:pPr>
        <w:pStyle w:val="Nadpis1"/>
      </w:pPr>
      <w:bookmarkStart w:id="25" w:name="_Toc254774751"/>
      <w:bookmarkStart w:id="26" w:name="_Toc160019387"/>
      <w:r w:rsidRPr="00207545">
        <w:t>ZÁVĚR</w:t>
      </w:r>
      <w:bookmarkEnd w:id="25"/>
      <w:bookmarkEnd w:id="26"/>
    </w:p>
    <w:p w14:paraId="68E74432" w14:textId="77777777" w:rsidR="00A702BE" w:rsidRPr="00207545" w:rsidRDefault="00A702BE" w:rsidP="00F355DB">
      <w:pPr>
        <w:pStyle w:val="Zkladntextodsazen2"/>
        <w:ind w:firstLine="0"/>
        <w:rPr>
          <w:rFonts w:cs="Arial"/>
          <w:sz w:val="32"/>
          <w:szCs w:val="32"/>
        </w:rPr>
      </w:pPr>
    </w:p>
    <w:p w14:paraId="0B302003" w14:textId="77777777" w:rsidR="00B21D70" w:rsidRPr="00B21D70" w:rsidRDefault="00B21D70" w:rsidP="00B21D70">
      <w:pPr>
        <w:rPr>
          <w:rFonts w:cs="Arial"/>
          <w:lang w:eastAsia="x-none"/>
        </w:rPr>
      </w:pPr>
      <w:r w:rsidRPr="00B21D70">
        <w:rPr>
          <w:rFonts w:cs="Arial"/>
          <w:lang w:val="x-none" w:eastAsia="x-none"/>
        </w:rPr>
        <w:t xml:space="preserve">Ze zjištění z provedených auditů a průběžného ověřování plnění přijatých NO </w:t>
      </w:r>
      <w:r w:rsidRPr="00B21D70">
        <w:rPr>
          <w:rFonts w:cs="Arial"/>
          <w:lang w:val="x-none" w:eastAsia="x-none"/>
        </w:rPr>
        <w:br w:type="textWrapping" w:clear="all"/>
        <w:t xml:space="preserve">k provedeným auditům vyplývá, že vnitřní kontrolní systém na MPSV lze obecně zhodnotit podle § 31 odst. 3 písm. a) zákona o finanční kontrole </w:t>
      </w:r>
      <w:r w:rsidRPr="0037259C">
        <w:rPr>
          <w:rFonts w:cs="Arial"/>
          <w:b/>
          <w:bCs/>
          <w:lang w:val="x-none" w:eastAsia="x-none"/>
        </w:rPr>
        <w:t xml:space="preserve">jako </w:t>
      </w:r>
      <w:r w:rsidRPr="0037259C">
        <w:rPr>
          <w:rFonts w:cs="Arial"/>
          <w:b/>
          <w:bCs/>
          <w:lang w:eastAsia="x-none"/>
        </w:rPr>
        <w:t>nastavený</w:t>
      </w:r>
      <w:r>
        <w:rPr>
          <w:rFonts w:cs="Arial"/>
          <w:lang w:eastAsia="x-none"/>
        </w:rPr>
        <w:t>.</w:t>
      </w:r>
    </w:p>
    <w:p w14:paraId="5048D181" w14:textId="77777777" w:rsidR="00B21D70" w:rsidRPr="00207545" w:rsidRDefault="00B21D70" w:rsidP="003A6194">
      <w:pPr>
        <w:pStyle w:val="Zkladntext"/>
        <w:jc w:val="both"/>
        <w:rPr>
          <w:rFonts w:cs="Arial"/>
          <w:b w:val="0"/>
          <w:bCs w:val="0"/>
          <w:sz w:val="24"/>
        </w:rPr>
      </w:pPr>
    </w:p>
    <w:p w14:paraId="149A2778" w14:textId="77777777" w:rsidR="001772F5" w:rsidRPr="00A378D1" w:rsidRDefault="00B21D70" w:rsidP="00B54982">
      <w:pPr>
        <w:pStyle w:val="Zkladntext"/>
        <w:spacing w:after="120"/>
        <w:jc w:val="both"/>
        <w:rPr>
          <w:rFonts w:cs="Arial"/>
          <w:b w:val="0"/>
          <w:bCs w:val="0"/>
          <w:sz w:val="24"/>
        </w:rPr>
      </w:pPr>
      <w:r w:rsidRPr="00A378D1">
        <w:rPr>
          <w:rFonts w:cs="Arial"/>
          <w:b w:val="0"/>
          <w:bCs w:val="0"/>
          <w:sz w:val="24"/>
          <w:lang w:val="cs-CZ"/>
        </w:rPr>
        <w:t>Nejzávažnější zjištění se týkala</w:t>
      </w:r>
      <w:r w:rsidR="006B17CE" w:rsidRPr="00A378D1">
        <w:rPr>
          <w:rFonts w:cs="Arial"/>
          <w:b w:val="0"/>
          <w:bCs w:val="0"/>
          <w:sz w:val="24"/>
        </w:rPr>
        <w:t xml:space="preserve"> zejména</w:t>
      </w:r>
      <w:r w:rsidR="001C1128" w:rsidRPr="00A378D1">
        <w:rPr>
          <w:rFonts w:cs="Arial"/>
          <w:b w:val="0"/>
          <w:bCs w:val="0"/>
          <w:sz w:val="24"/>
        </w:rPr>
        <w:t xml:space="preserve"> (shrnutí)</w:t>
      </w:r>
      <w:r w:rsidR="006B17CE" w:rsidRPr="00A378D1">
        <w:rPr>
          <w:rFonts w:cs="Arial"/>
          <w:b w:val="0"/>
          <w:bCs w:val="0"/>
          <w:sz w:val="24"/>
        </w:rPr>
        <w:t>:</w:t>
      </w:r>
    </w:p>
    <w:p w14:paraId="78E8E5C1" w14:textId="77777777" w:rsidR="00A378D1" w:rsidRPr="00A378D1" w:rsidRDefault="00A378D1" w:rsidP="00A378D1">
      <w:pPr>
        <w:numPr>
          <w:ilvl w:val="0"/>
          <w:numId w:val="8"/>
        </w:numPr>
        <w:tabs>
          <w:tab w:val="clear" w:pos="360"/>
          <w:tab w:val="num" w:pos="-567"/>
        </w:tabs>
        <w:spacing w:after="120"/>
        <w:rPr>
          <w:rFonts w:cs="Arial"/>
        </w:rPr>
      </w:pPr>
      <w:bookmarkStart w:id="27" w:name="_Hlk128688186"/>
      <w:r w:rsidRPr="00A378D1">
        <w:rPr>
          <w:rFonts w:cs="Arial"/>
        </w:rPr>
        <w:t>dotací v oblasti poskytování sociálních služeb s nadregionální či celostátní působností – zjištění jsou systémová a vyskytují se i u jiných dotačních titulů,</w:t>
      </w:r>
    </w:p>
    <w:p w14:paraId="19C3220A" w14:textId="77777777" w:rsidR="00A378D1" w:rsidRPr="00A378D1" w:rsidRDefault="00B21D70" w:rsidP="00242156">
      <w:pPr>
        <w:numPr>
          <w:ilvl w:val="0"/>
          <w:numId w:val="8"/>
        </w:numPr>
        <w:tabs>
          <w:tab w:val="clear" w:pos="360"/>
          <w:tab w:val="num" w:pos="-567"/>
        </w:tabs>
        <w:spacing w:after="120"/>
        <w:rPr>
          <w:rFonts w:cs="Arial"/>
        </w:rPr>
      </w:pPr>
      <w:r w:rsidRPr="00A378D1">
        <w:rPr>
          <w:rFonts w:cs="Arial"/>
        </w:rPr>
        <w:t>ICT a kybernetické bezpečnosti (</w:t>
      </w:r>
      <w:r w:rsidR="00A378D1" w:rsidRPr="00A378D1">
        <w:rPr>
          <w:rFonts w:cs="Arial"/>
        </w:rPr>
        <w:t>není provedena řádná klasifikace aktiv</w:t>
      </w:r>
      <w:bookmarkEnd w:id="27"/>
      <w:r w:rsidR="00A378D1" w:rsidRPr="00A378D1">
        <w:rPr>
          <w:rFonts w:cs="Arial"/>
        </w:rPr>
        <w:t>),</w:t>
      </w:r>
    </w:p>
    <w:p w14:paraId="6DFD9619" w14:textId="77777777" w:rsidR="00B06EAB" w:rsidRPr="00A378D1" w:rsidRDefault="00E747B4" w:rsidP="00242156">
      <w:pPr>
        <w:numPr>
          <w:ilvl w:val="0"/>
          <w:numId w:val="8"/>
        </w:numPr>
        <w:tabs>
          <w:tab w:val="clear" w:pos="360"/>
          <w:tab w:val="num" w:pos="-567"/>
        </w:tabs>
        <w:spacing w:after="120"/>
        <w:rPr>
          <w:rFonts w:cs="Arial"/>
        </w:rPr>
      </w:pPr>
      <w:r w:rsidRPr="00A378D1">
        <w:rPr>
          <w:rFonts w:cs="Arial"/>
        </w:rPr>
        <w:t xml:space="preserve">spisové služby, protože </w:t>
      </w:r>
      <w:r w:rsidR="005479A7" w:rsidRPr="00A378D1">
        <w:rPr>
          <w:rFonts w:cs="Arial"/>
        </w:rPr>
        <w:t xml:space="preserve">zaměstnanci MPSV na různých pozicích mají </w:t>
      </w:r>
      <w:r w:rsidRPr="00A378D1">
        <w:rPr>
          <w:rFonts w:cs="Arial"/>
        </w:rPr>
        <w:t xml:space="preserve">s ní </w:t>
      </w:r>
      <w:r w:rsidR="00694838" w:rsidRPr="00A378D1">
        <w:rPr>
          <w:rFonts w:cs="Arial"/>
        </w:rPr>
        <w:t xml:space="preserve">přetrvávající </w:t>
      </w:r>
      <w:r w:rsidR="005479A7" w:rsidRPr="00A378D1">
        <w:rPr>
          <w:rFonts w:cs="Arial"/>
        </w:rPr>
        <w:t xml:space="preserve">problémy </w:t>
      </w:r>
      <w:r w:rsidR="00A67D82" w:rsidRPr="00A378D1">
        <w:rPr>
          <w:rFonts w:cs="Arial"/>
        </w:rPr>
        <w:t>(</w:t>
      </w:r>
      <w:r w:rsidR="005479A7" w:rsidRPr="00A378D1">
        <w:rPr>
          <w:rFonts w:cs="Arial"/>
        </w:rPr>
        <w:t>dokumentace k</w:t>
      </w:r>
      <w:r w:rsidR="00BE39F4" w:rsidRPr="00A378D1">
        <w:rPr>
          <w:rFonts w:cs="Arial"/>
        </w:rPr>
        <w:t xml:space="preserve"> </w:t>
      </w:r>
      <w:r w:rsidR="005479A7" w:rsidRPr="00A378D1">
        <w:rPr>
          <w:rFonts w:cs="Arial"/>
        </w:rPr>
        <w:t>operac</w:t>
      </w:r>
      <w:r w:rsidR="007D2A23" w:rsidRPr="00A378D1">
        <w:rPr>
          <w:rFonts w:cs="Arial"/>
        </w:rPr>
        <w:t>ím</w:t>
      </w:r>
      <w:r w:rsidR="005479A7" w:rsidRPr="00A378D1">
        <w:rPr>
          <w:rFonts w:cs="Arial"/>
        </w:rPr>
        <w:t xml:space="preserve"> jsou vystavovány nebo přijímány bez čísla jednacího, </w:t>
      </w:r>
      <w:r w:rsidR="00A67D82" w:rsidRPr="00A378D1">
        <w:rPr>
          <w:rFonts w:cs="Arial"/>
        </w:rPr>
        <w:t>nejsou zakládány spisy ve spisové službě,</w:t>
      </w:r>
      <w:r w:rsidR="00725649" w:rsidRPr="00A378D1">
        <w:rPr>
          <w:rFonts w:cs="Arial"/>
        </w:rPr>
        <w:t xml:space="preserve"> </w:t>
      </w:r>
      <w:r w:rsidR="005479A7" w:rsidRPr="00A378D1">
        <w:rPr>
          <w:rFonts w:cs="Arial"/>
        </w:rPr>
        <w:t xml:space="preserve">neexistuje </w:t>
      </w:r>
      <w:r w:rsidR="00970EC8" w:rsidRPr="00A378D1">
        <w:rPr>
          <w:rFonts w:cs="Arial"/>
        </w:rPr>
        <w:t xml:space="preserve">tudíž </w:t>
      </w:r>
      <w:r w:rsidR="005479A7" w:rsidRPr="00A378D1">
        <w:rPr>
          <w:rFonts w:cs="Arial"/>
        </w:rPr>
        <w:t xml:space="preserve">žádná </w:t>
      </w:r>
      <w:r w:rsidR="00970EC8" w:rsidRPr="00A378D1">
        <w:rPr>
          <w:rFonts w:cs="Arial"/>
        </w:rPr>
        <w:t>audit</w:t>
      </w:r>
      <w:r w:rsidR="005479A7" w:rsidRPr="00A378D1">
        <w:rPr>
          <w:rFonts w:cs="Arial"/>
        </w:rPr>
        <w:t>ní stopa</w:t>
      </w:r>
      <w:r w:rsidR="00B21D70" w:rsidRPr="00A378D1">
        <w:rPr>
          <w:rFonts w:cs="Arial"/>
        </w:rPr>
        <w:t>),</w:t>
      </w:r>
    </w:p>
    <w:p w14:paraId="34742D53" w14:textId="77777777" w:rsidR="00B21D70" w:rsidRPr="001772F5" w:rsidRDefault="00B21D70" w:rsidP="00B21D70">
      <w:pPr>
        <w:numPr>
          <w:ilvl w:val="0"/>
          <w:numId w:val="8"/>
        </w:numPr>
        <w:tabs>
          <w:tab w:val="clear" w:pos="360"/>
          <w:tab w:val="num" w:pos="-567"/>
        </w:tabs>
        <w:spacing w:after="120"/>
        <w:rPr>
          <w:rFonts w:cs="Arial"/>
        </w:rPr>
      </w:pPr>
      <w:r w:rsidRPr="001772F5">
        <w:rPr>
          <w:rFonts w:cs="Arial"/>
        </w:rPr>
        <w:t>absence přehledného Organizačního řádu MPSV</w:t>
      </w:r>
      <w:r w:rsidR="00E747B4" w:rsidRPr="001772F5">
        <w:rPr>
          <w:rFonts w:cs="Arial"/>
        </w:rPr>
        <w:t xml:space="preserve"> -</w:t>
      </w:r>
      <w:r w:rsidRPr="001772F5">
        <w:rPr>
          <w:rFonts w:cs="Arial"/>
        </w:rPr>
        <w:t xml:space="preserve"> nepodařilo se nastavit mapu vlastních procesů na MPSV</w:t>
      </w:r>
      <w:r w:rsidR="00FF0DF3" w:rsidRPr="001772F5">
        <w:rPr>
          <w:rFonts w:cs="Arial"/>
        </w:rPr>
        <w:t>,</w:t>
      </w:r>
      <w:r w:rsidRPr="001772F5">
        <w:rPr>
          <w:rFonts w:cs="Arial"/>
        </w:rPr>
        <w:t xml:space="preserve"> nesprávné, neaktuální nebo překonané vnitřní akty řízení</w:t>
      </w:r>
      <w:r w:rsidR="00FF0DF3" w:rsidRPr="001772F5">
        <w:rPr>
          <w:rFonts w:cs="Arial"/>
        </w:rPr>
        <w:t>,</w:t>
      </w:r>
      <w:r w:rsidRPr="001772F5">
        <w:rPr>
          <w:rFonts w:cs="Arial"/>
        </w:rPr>
        <w:t xml:space="preserve"> v rámci nastavení kvality úřadu</w:t>
      </w:r>
      <w:r w:rsidRPr="001772F5">
        <w:rPr>
          <w:rFonts w:cs="Arial"/>
          <w:bCs/>
        </w:rPr>
        <w:t xml:space="preserve"> by mohl být tento problém vyřešen.</w:t>
      </w:r>
    </w:p>
    <w:p w14:paraId="67FBA6E3" w14:textId="77777777" w:rsidR="008E3AA0" w:rsidRPr="00207545" w:rsidRDefault="008E3AA0" w:rsidP="00165BE5">
      <w:pPr>
        <w:pStyle w:val="Zkladntext"/>
        <w:jc w:val="both"/>
        <w:rPr>
          <w:rFonts w:cs="Arial"/>
          <w:b w:val="0"/>
          <w:bCs w:val="0"/>
          <w:sz w:val="24"/>
          <w:lang w:val="cs-CZ"/>
        </w:rPr>
      </w:pPr>
    </w:p>
    <w:p w14:paraId="3C3E3539" w14:textId="77777777" w:rsidR="00B06EAB" w:rsidRPr="00725649" w:rsidRDefault="00B06EAB" w:rsidP="00165BE5">
      <w:pPr>
        <w:pStyle w:val="Zkladntext"/>
        <w:jc w:val="both"/>
        <w:rPr>
          <w:b w:val="0"/>
          <w:bCs w:val="0"/>
          <w:sz w:val="24"/>
          <w:lang w:val="cs-CZ"/>
        </w:rPr>
      </w:pPr>
      <w:r w:rsidRPr="00725649">
        <w:rPr>
          <w:bCs w:val="0"/>
          <w:sz w:val="24"/>
          <w:lang w:val="cs-CZ"/>
        </w:rPr>
        <w:t>Doporučení</w:t>
      </w:r>
      <w:r w:rsidR="00653AA2" w:rsidRPr="00725649">
        <w:rPr>
          <w:rFonts w:cs="Arial"/>
          <w:sz w:val="24"/>
        </w:rPr>
        <w:t xml:space="preserve"> </w:t>
      </w:r>
      <w:r w:rsidR="00653AA2" w:rsidRPr="00725649">
        <w:rPr>
          <w:rFonts w:cs="Arial"/>
          <w:b w:val="0"/>
          <w:bCs w:val="0"/>
          <w:sz w:val="24"/>
        </w:rPr>
        <w:t xml:space="preserve">jsou součástí </w:t>
      </w:r>
      <w:r w:rsidR="008C0F97">
        <w:rPr>
          <w:rFonts w:cs="Arial"/>
          <w:b w:val="0"/>
          <w:bCs w:val="0"/>
          <w:sz w:val="24"/>
          <w:lang w:val="cs-CZ"/>
        </w:rPr>
        <w:t xml:space="preserve">každé </w:t>
      </w:r>
      <w:r w:rsidR="00AE3C26">
        <w:rPr>
          <w:rFonts w:cs="Arial"/>
          <w:b w:val="0"/>
          <w:bCs w:val="0"/>
          <w:sz w:val="24"/>
          <w:lang w:val="cs-CZ"/>
        </w:rPr>
        <w:t>ZAZ</w:t>
      </w:r>
      <w:r w:rsidR="00653AA2" w:rsidRPr="00725649">
        <w:rPr>
          <w:rFonts w:cs="Arial"/>
          <w:b w:val="0"/>
          <w:bCs w:val="0"/>
          <w:sz w:val="24"/>
        </w:rPr>
        <w:t xml:space="preserve">, další doporučení mimo </w:t>
      </w:r>
      <w:r w:rsidR="008C0F97">
        <w:rPr>
          <w:rFonts w:cs="Arial"/>
          <w:b w:val="0"/>
          <w:bCs w:val="0"/>
          <w:sz w:val="24"/>
          <w:lang w:val="cs-CZ"/>
        </w:rPr>
        <w:t xml:space="preserve">jednotlivé </w:t>
      </w:r>
      <w:r w:rsidR="00A67CE3">
        <w:rPr>
          <w:rFonts w:cs="Arial"/>
          <w:b w:val="0"/>
          <w:bCs w:val="0"/>
          <w:sz w:val="24"/>
          <w:lang w:val="cs-CZ"/>
        </w:rPr>
        <w:t>ZAZ</w:t>
      </w:r>
      <w:r w:rsidR="00653AA2" w:rsidRPr="00725649">
        <w:rPr>
          <w:rFonts w:cs="Arial"/>
          <w:b w:val="0"/>
          <w:bCs w:val="0"/>
          <w:sz w:val="24"/>
        </w:rPr>
        <w:t xml:space="preserve"> (a z nich vyplývající </w:t>
      </w:r>
      <w:r w:rsidR="00AE3C26">
        <w:rPr>
          <w:rFonts w:cs="Arial"/>
          <w:b w:val="0"/>
          <w:bCs w:val="0"/>
          <w:sz w:val="24"/>
          <w:lang w:val="cs-CZ"/>
        </w:rPr>
        <w:t>NO</w:t>
      </w:r>
      <w:r w:rsidR="00653AA2" w:rsidRPr="00725649">
        <w:rPr>
          <w:rFonts w:cs="Arial"/>
          <w:b w:val="0"/>
          <w:bCs w:val="0"/>
          <w:sz w:val="24"/>
        </w:rPr>
        <w:t>) není nutno ukládat</w:t>
      </w:r>
      <w:r w:rsidR="00653AA2" w:rsidRPr="00725649">
        <w:rPr>
          <w:rFonts w:cs="Arial"/>
          <w:b w:val="0"/>
          <w:bCs w:val="0"/>
          <w:sz w:val="24"/>
          <w:lang w:val="cs-CZ"/>
        </w:rPr>
        <w:t>.</w:t>
      </w:r>
    </w:p>
    <w:sectPr w:rsidR="00B06EAB" w:rsidRPr="00725649" w:rsidSect="0076522F">
      <w:headerReference w:type="default" r:id="rId8"/>
      <w:footerReference w:type="default" r:id="rId9"/>
      <w:headerReference w:type="first" r:id="rId10"/>
      <w:pgSz w:w="11906" w:h="16838"/>
      <w:pgMar w:top="965" w:right="1133" w:bottom="851" w:left="1134" w:header="426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39D0" w14:textId="77777777" w:rsidR="00FC6C2C" w:rsidRDefault="00FC6C2C">
      <w:r>
        <w:separator/>
      </w:r>
    </w:p>
  </w:endnote>
  <w:endnote w:type="continuationSeparator" w:id="0">
    <w:p w14:paraId="4EEB4416" w14:textId="77777777" w:rsidR="00FC6C2C" w:rsidRDefault="00FC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8A41" w14:textId="77777777" w:rsidR="00B42E19" w:rsidRPr="00B03B14" w:rsidRDefault="00000000" w:rsidP="001D3DC0">
    <w:pPr>
      <w:pStyle w:val="Zpat"/>
      <w:tabs>
        <w:tab w:val="clear" w:pos="4536"/>
        <w:tab w:val="clear" w:pos="9072"/>
      </w:tabs>
      <w:ind w:right="360"/>
      <w:jc w:val="center"/>
      <w:rPr>
        <w:sz w:val="18"/>
        <w:szCs w:val="18"/>
      </w:rPr>
    </w:pPr>
    <w:r>
      <w:rPr>
        <w:noProof/>
        <w:sz w:val="18"/>
        <w:szCs w:val="18"/>
      </w:rPr>
      <w:pict w14:anchorId="443E7379"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matický obrazec 22" o:spid="_x0000_s1035" type="#_x0000_t185" style="position:absolute;left:0;text-align:left;margin-left:275.05pt;margin-top:811.25pt;width:45.15pt;height:18.8pt;z-index:2;visibility:visible;mso-width-percent:100;mso-position-horizontal-relative:page;mso-position-vertical-relative:page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" filled="t" strokecolor="gray" strokeweight="2.25pt">
          <v:textbox style="mso-next-textbox:#Automatický obrazec 22" inset=",0,,0">
            <w:txbxContent>
              <w:p w14:paraId="636250F0" w14:textId="77777777" w:rsidR="00B42E19" w:rsidRDefault="00B42E19" w:rsidP="00522B5C">
                <w:pPr>
                  <w:pStyle w:val="Zpat"/>
                  <w:jc w:val="center"/>
                </w:pPr>
                <w:r>
                  <w:rPr>
                    <w:b/>
                    <w:bCs/>
                    <w:sz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</w:rPr>
                  <w:fldChar w:fldCharType="separate"/>
                </w:r>
                <w:r w:rsidR="00C00EB0">
                  <w:rPr>
                    <w:b/>
                    <w:bCs/>
                    <w:noProof/>
                  </w:rPr>
                  <w:t>3</w:t>
                </w:r>
                <w:r>
                  <w:rPr>
                    <w:b/>
                    <w:bCs/>
                    <w:sz w:val="24"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  <w:sz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</w:rPr>
                  <w:fldChar w:fldCharType="separate"/>
                </w:r>
                <w:r w:rsidR="00C00EB0">
                  <w:rPr>
                    <w:b/>
                    <w:bCs/>
                    <w:noProof/>
                  </w:rPr>
                  <w:t>20</w:t>
                </w:r>
                <w:r>
                  <w:rPr>
                    <w:b/>
                    <w:bCs/>
                    <w:sz w:val="24"/>
                  </w:rPr>
                  <w:fldChar w:fldCharType="end"/>
                </w:r>
              </w:p>
              <w:p w14:paraId="4DC7ED2B" w14:textId="77777777" w:rsidR="00B42E19" w:rsidRDefault="00B42E19">
                <w:pPr>
                  <w:jc w:val="center"/>
                </w:pPr>
              </w:p>
            </w:txbxContent>
          </v:textbox>
          <w10:wrap anchorx="margin" anchory="margin"/>
        </v:shape>
      </w:pict>
    </w:r>
    <w:r>
      <w:rPr>
        <w:noProof/>
        <w:sz w:val="18"/>
        <w:szCs w:val="18"/>
      </w:rPr>
      <w:pict w14:anchorId="2AE0C71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matický obrazec 21" o:spid="_x0000_s1034" type="#_x0000_t32" style="position:absolute;left:0;text-align:left;margin-left:80.5pt;margin-top:820.65pt;width:434.5pt;height:0;z-index:1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" strokecolor="gray" strokeweight="1pt"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9D78" w14:textId="77777777" w:rsidR="00FC6C2C" w:rsidRDefault="00FC6C2C">
      <w:r>
        <w:separator/>
      </w:r>
    </w:p>
  </w:footnote>
  <w:footnote w:type="continuationSeparator" w:id="0">
    <w:p w14:paraId="1951A2AE" w14:textId="77777777" w:rsidR="00FC6C2C" w:rsidRDefault="00FC6C2C">
      <w:r>
        <w:continuationSeparator/>
      </w:r>
    </w:p>
  </w:footnote>
  <w:footnote w:id="1">
    <w:p w14:paraId="1EE24525" w14:textId="77777777" w:rsidR="00B42E19" w:rsidRPr="006C6A8B" w:rsidRDefault="00B42E19" w:rsidP="006F1634">
      <w:pPr>
        <w:pStyle w:val="Textpoznpodarou"/>
        <w:tabs>
          <w:tab w:val="left" w:pos="284"/>
        </w:tabs>
        <w:ind w:left="227" w:hanging="227"/>
        <w:rPr>
          <w:sz w:val="18"/>
          <w:szCs w:val="18"/>
        </w:rPr>
      </w:pPr>
      <w:r w:rsidRPr="006C6A8B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6C6A8B">
        <w:rPr>
          <w:sz w:val="18"/>
          <w:szCs w:val="18"/>
        </w:rPr>
        <w:t>Standard 1320 „Podávání zpráv o programu pro zabezpečení a zvyšování kvality interního auditu“</w:t>
      </w:r>
      <w:r w:rsidRPr="006C6A8B">
        <w:rPr>
          <w:sz w:val="18"/>
          <w:szCs w:val="18"/>
        </w:rPr>
        <w:br/>
        <w:t xml:space="preserve">a Standard 2060 „Předávání zpráv vedení a orgánům společnosti“ podle Mezinárodních Standardů pro profesní praxi </w:t>
      </w:r>
      <w:r>
        <w:rPr>
          <w:sz w:val="18"/>
          <w:szCs w:val="18"/>
        </w:rPr>
        <w:t>interního</w:t>
      </w:r>
      <w:r w:rsidRPr="006C6A8B">
        <w:rPr>
          <w:sz w:val="18"/>
          <w:szCs w:val="18"/>
        </w:rPr>
        <w:t xml:space="preserve"> auditu</w:t>
      </w:r>
      <w:r w:rsidR="00850118">
        <w:rPr>
          <w:sz w:val="18"/>
          <w:szCs w:val="18"/>
        </w:rPr>
        <w:t>.</w:t>
      </w:r>
    </w:p>
  </w:footnote>
  <w:footnote w:id="2">
    <w:p w14:paraId="69835F46" w14:textId="77777777" w:rsidR="00EA052C" w:rsidRDefault="00EA052C" w:rsidP="00EA052C">
      <w:pPr>
        <w:pStyle w:val="Textpoznpodarou"/>
      </w:pPr>
      <w:r>
        <w:rPr>
          <w:rStyle w:val="Znakapoznpodarou"/>
        </w:rPr>
        <w:footnoteRef/>
      </w:r>
      <w:r>
        <w:t xml:space="preserve"> Použité funkce jsou myšleny z hlediska genderové rovnosti</w:t>
      </w:r>
    </w:p>
  </w:footnote>
  <w:footnote w:id="3">
    <w:p w14:paraId="6FEB0187" w14:textId="77777777" w:rsidR="00EA052C" w:rsidRDefault="00EA052C" w:rsidP="00EA052C">
      <w:pPr>
        <w:pStyle w:val="Textpoznpodarou"/>
      </w:pPr>
      <w:r>
        <w:rPr>
          <w:rStyle w:val="Znakapoznpodarou"/>
        </w:rPr>
        <w:footnoteRef/>
      </w:r>
      <w:r>
        <w:t xml:space="preserve"> Právní předpisy jsou uváděny ve znění platném v auditovaném období.</w:t>
      </w:r>
    </w:p>
  </w:footnote>
  <w:footnote w:id="4">
    <w:p w14:paraId="25A696F9" w14:textId="77777777" w:rsidR="00037F8B" w:rsidRPr="00037F8B" w:rsidRDefault="00037F8B">
      <w:pPr>
        <w:pStyle w:val="Textpoznpodarou"/>
        <w:rPr>
          <w:sz w:val="18"/>
          <w:szCs w:val="18"/>
        </w:rPr>
      </w:pPr>
      <w:r w:rsidRPr="00037F8B">
        <w:rPr>
          <w:rStyle w:val="Znakapoznpodarou"/>
          <w:sz w:val="18"/>
          <w:szCs w:val="18"/>
        </w:rPr>
        <w:footnoteRef/>
      </w:r>
      <w:r w:rsidRPr="00037F8B">
        <w:rPr>
          <w:sz w:val="18"/>
          <w:szCs w:val="18"/>
        </w:rPr>
        <w:t xml:space="preserve">   V Roční zprávě jsou uváděny pouze zjištění typu „V“ - zjištění (nedostatky) vysoké významnosti s dopadem na celkové ujištění o fungování řídícího a kontrolního systému, a „SV“ - zjištění středně vyšší významnosti, kdy lze dosáhnout pouze částečného ujištění o funkčnosti procesu (systému, činnosti)</w:t>
      </w:r>
      <w:r w:rsidR="00811DF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1A66" w14:textId="77777777" w:rsidR="00B42E19" w:rsidRDefault="00B42E19" w:rsidP="00024305">
    <w:pPr>
      <w:pStyle w:val="Zhlav"/>
    </w:pPr>
    <w:r>
      <w:tab/>
    </w:r>
  </w:p>
  <w:p w14:paraId="41A0AD2C" w14:textId="77777777" w:rsidR="00B42E19" w:rsidRDefault="00B42E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9436" w14:textId="77777777" w:rsidR="00B42E19" w:rsidRDefault="00000000" w:rsidP="001D4BE9">
    <w:pPr>
      <w:pStyle w:val="Zhlav"/>
    </w:pPr>
    <w:r>
      <w:rPr>
        <w:noProof/>
      </w:rPr>
      <w:pict w14:anchorId="0C41B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1041" type="#_x0000_t75" style="position:absolute;left:0;text-align:left;margin-left:0;margin-top:-.55pt;width:80pt;height:76pt;z-index:3;visibility:visible">
          <v:imagedata r:id="rId1" o:title=""/>
        </v:shape>
      </w:pict>
    </w:r>
    <w:r w:rsidR="00B42E19">
      <w:tab/>
    </w:r>
  </w:p>
  <w:p w14:paraId="0670A6B3" w14:textId="77777777" w:rsidR="00B42E19" w:rsidRPr="001D4BE9" w:rsidRDefault="00B42E19" w:rsidP="001D4BE9">
    <w:pPr>
      <w:pStyle w:val="Zhlav"/>
      <w:tabs>
        <w:tab w:val="left" w:pos="1134"/>
      </w:tabs>
      <w:ind w:firstLine="1620"/>
      <w:rPr>
        <w:b w:val="0"/>
        <w:spacing w:val="60"/>
        <w:sz w:val="20"/>
        <w:szCs w:val="20"/>
      </w:rPr>
    </w:pPr>
    <w:r w:rsidRPr="001D4BE9">
      <w:rPr>
        <w:b w:val="0"/>
        <w:spacing w:val="60"/>
        <w:sz w:val="20"/>
        <w:szCs w:val="20"/>
      </w:rPr>
      <w:t>Ministerstvo práce a sociálních věcí</w:t>
    </w:r>
  </w:p>
  <w:p w14:paraId="2AB7D4A8" w14:textId="77777777" w:rsidR="00B42E19" w:rsidRDefault="00000000" w:rsidP="001D4BE9">
    <w:pPr>
      <w:pStyle w:val="Zhlav"/>
      <w:tabs>
        <w:tab w:val="left" w:pos="1276"/>
      </w:tabs>
      <w:rPr>
        <w:rFonts w:ascii="Tahoma" w:hAnsi="Tahoma"/>
        <w:spacing w:val="80"/>
      </w:rPr>
    </w:pPr>
    <w:r>
      <w:rPr>
        <w:noProof/>
      </w:rPr>
      <w:pict w14:anchorId="4FFFAED0">
        <v:line id="Line 8" o:spid="_x0000_s1042" style="position:absolute;left:0;text-align:left;flip:x;z-index:4;visibility:visible" from="81pt,7.85pt" to="450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73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"/>
      </w:pict>
    </w:r>
  </w:p>
  <w:p w14:paraId="6965EA46" w14:textId="77777777" w:rsidR="00B42E19" w:rsidRDefault="00B42E19" w:rsidP="001D4BE9">
    <w:pPr>
      <w:pStyle w:val="Zhlav"/>
      <w:tabs>
        <w:tab w:val="left" w:pos="1276"/>
      </w:tabs>
      <w:rPr>
        <w:rFonts w:ascii="Tahoma" w:hAnsi="Tahoma"/>
        <w:spacing w:val="80"/>
      </w:rPr>
    </w:pPr>
    <w:r>
      <w:rPr>
        <w:rFonts w:ascii="Tahoma" w:hAnsi="Tahoma"/>
        <w:spacing w:val="80"/>
      </w:rPr>
      <w:tab/>
    </w:r>
  </w:p>
  <w:p w14:paraId="05D976F2" w14:textId="77777777" w:rsidR="00B42E19" w:rsidRPr="001D4BE9" w:rsidRDefault="00B42E19" w:rsidP="001D4BE9">
    <w:pPr>
      <w:pStyle w:val="Zhlav"/>
      <w:tabs>
        <w:tab w:val="left" w:pos="1276"/>
      </w:tabs>
      <w:rPr>
        <w:rFonts w:cs="Arial"/>
        <w:b w:val="0"/>
        <w:caps w:val="0"/>
        <w:spacing w:val="80"/>
      </w:rPr>
    </w:pPr>
    <w:r>
      <w:rPr>
        <w:rFonts w:ascii="Tahoma" w:hAnsi="Tahoma"/>
        <w:spacing w:val="80"/>
      </w:rPr>
      <w:t xml:space="preserve">            </w:t>
    </w:r>
    <w:r w:rsidRPr="001D4BE9">
      <w:rPr>
        <w:rFonts w:cs="Arial"/>
        <w:b w:val="0"/>
        <w:caps w:val="0"/>
        <w:spacing w:val="80"/>
      </w:rPr>
      <w:t>Odbor interního auditu a kontroly</w:t>
    </w:r>
  </w:p>
  <w:p w14:paraId="02B4CA87" w14:textId="77777777" w:rsidR="00B42E19" w:rsidRDefault="00B42E19" w:rsidP="001D4BE9">
    <w:pPr>
      <w:pStyle w:val="Zhlav"/>
    </w:pPr>
  </w:p>
  <w:p w14:paraId="6CCA61C0" w14:textId="77777777" w:rsidR="00B42E19" w:rsidRDefault="00B42E19" w:rsidP="001D4BE9">
    <w:pPr>
      <w:pStyle w:val="Zkladntext2"/>
      <w:spacing w:before="120"/>
    </w:pPr>
  </w:p>
  <w:p w14:paraId="2B14F23F" w14:textId="77777777" w:rsidR="00B42E19" w:rsidRDefault="00B42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9F3"/>
      </v:shape>
    </w:pict>
  </w:numPicBullet>
  <w:abstractNum w:abstractNumId="0" w15:restartNumberingAfterBreak="0">
    <w:nsid w:val="0D5D6C34"/>
    <w:multiLevelType w:val="hybridMultilevel"/>
    <w:tmpl w:val="F2147A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C97FC">
      <w:start w:val="1"/>
      <w:numFmt w:val="decimal"/>
      <w:pStyle w:val="Doporuen"/>
      <w:lvlText w:val="Doporučení č. %2"/>
      <w:lvlJc w:val="left"/>
      <w:pPr>
        <w:tabs>
          <w:tab w:val="num" w:pos="1582"/>
        </w:tabs>
        <w:ind w:left="847" w:hanging="705"/>
      </w:pPr>
      <w:rPr>
        <w:rFonts w:ascii="Arial" w:hAnsi="Arial" w:cs="Times New Roman" w:hint="default"/>
        <w:b/>
        <w:i w:val="0"/>
        <w:sz w:val="24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54502"/>
    <w:multiLevelType w:val="hybridMultilevel"/>
    <w:tmpl w:val="4EB254F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36336BE"/>
    <w:multiLevelType w:val="hybridMultilevel"/>
    <w:tmpl w:val="074C45A2"/>
    <w:lvl w:ilvl="0" w:tplc="4E881280">
      <w:start w:val="1"/>
      <w:numFmt w:val="none"/>
      <w:pStyle w:val="Popiszjitn"/>
      <w:lvlText w:val="Zjištění"/>
      <w:lvlJc w:val="left"/>
      <w:pPr>
        <w:tabs>
          <w:tab w:val="num" w:pos="1260"/>
        </w:tabs>
        <w:ind w:left="540" w:hanging="360"/>
      </w:pPr>
      <w:rPr>
        <w:rFonts w:ascii="Arial" w:hAnsi="Arial"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D89685C6">
      <w:start w:val="2"/>
      <w:numFmt w:val="upperRoman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27A938C7"/>
    <w:multiLevelType w:val="hybridMultilevel"/>
    <w:tmpl w:val="4364A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767"/>
    <w:multiLevelType w:val="multilevel"/>
    <w:tmpl w:val="30E401E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0AD0762"/>
    <w:multiLevelType w:val="hybridMultilevel"/>
    <w:tmpl w:val="DFC87AF0"/>
    <w:lvl w:ilvl="0" w:tplc="3EAEFF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E6FF3"/>
    <w:multiLevelType w:val="hybridMultilevel"/>
    <w:tmpl w:val="2BF0FE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30630C7"/>
    <w:multiLevelType w:val="hybridMultilevel"/>
    <w:tmpl w:val="0DC47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5032"/>
    <w:multiLevelType w:val="hybridMultilevel"/>
    <w:tmpl w:val="8B26C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6291E">
      <w:start w:val="1"/>
      <w:numFmt w:val="bullet"/>
      <w:lvlText w:val="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607B0"/>
    <w:multiLevelType w:val="hybridMultilevel"/>
    <w:tmpl w:val="266C46D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17F43A8"/>
    <w:multiLevelType w:val="hybridMultilevel"/>
    <w:tmpl w:val="486227E8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6DD88D0A">
      <w:numFmt w:val="bullet"/>
      <w:lvlText w:val="•"/>
      <w:lvlJc w:val="left"/>
      <w:pPr>
        <w:ind w:left="-1896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-1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</w:abstractNum>
  <w:abstractNum w:abstractNumId="11" w15:restartNumberingAfterBreak="0">
    <w:nsid w:val="54C847CF"/>
    <w:multiLevelType w:val="hybridMultilevel"/>
    <w:tmpl w:val="3B3031F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35A2D"/>
    <w:multiLevelType w:val="hybridMultilevel"/>
    <w:tmpl w:val="8494C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70D7F"/>
    <w:multiLevelType w:val="hybridMultilevel"/>
    <w:tmpl w:val="4CC233AA"/>
    <w:lvl w:ilvl="0" w:tplc="540E12E6">
      <w:start w:val="1"/>
      <w:numFmt w:val="decimal"/>
      <w:pStyle w:val="zjitn"/>
      <w:lvlText w:val="Zjištění č. %1"/>
      <w:lvlJc w:val="left"/>
      <w:pPr>
        <w:tabs>
          <w:tab w:val="num" w:pos="1800"/>
        </w:tabs>
        <w:ind w:left="720" w:hanging="360"/>
      </w:pPr>
      <w:rPr>
        <w:rFonts w:ascii="Arial" w:hAnsi="Arial" w:cs="Times New Roman" w:hint="default"/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8393F"/>
    <w:multiLevelType w:val="multilevel"/>
    <w:tmpl w:val="D9BA6DE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FF337E7"/>
    <w:multiLevelType w:val="hybridMultilevel"/>
    <w:tmpl w:val="A4A6F250"/>
    <w:lvl w:ilvl="0" w:tplc="AE64BA4C">
      <w:start w:val="1"/>
      <w:numFmt w:val="decimal"/>
      <w:lvlText w:val="%1."/>
      <w:lvlJc w:val="left"/>
      <w:pPr>
        <w:ind w:left="2136" w:hanging="705"/>
      </w:pPr>
      <w:rPr>
        <w:rFonts w:ascii="Arial" w:hAnsi="Arial" w:hint="default"/>
        <w:b/>
        <w:i w:val="0"/>
        <w:sz w:val="36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65E56202"/>
    <w:multiLevelType w:val="hybridMultilevel"/>
    <w:tmpl w:val="765AD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E0DCB"/>
    <w:multiLevelType w:val="hybridMultilevel"/>
    <w:tmpl w:val="A57AA33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210106"/>
    <w:multiLevelType w:val="hybridMultilevel"/>
    <w:tmpl w:val="EF3A264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E6828C6"/>
    <w:multiLevelType w:val="multilevel"/>
    <w:tmpl w:val="C5C831CC"/>
    <w:lvl w:ilvl="0">
      <w:start w:val="1"/>
      <w:numFmt w:val="decimal"/>
      <w:pStyle w:val="StylPopiszjitnPed12bZa12b1"/>
      <w:lvlText w:val="Zjištění č. %1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sz w:val="24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751775388">
    <w:abstractNumId w:val="4"/>
  </w:num>
  <w:num w:numId="2" w16cid:durableId="15287162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606467">
    <w:abstractNumId w:val="2"/>
  </w:num>
  <w:num w:numId="4" w16cid:durableId="464085418">
    <w:abstractNumId w:val="8"/>
  </w:num>
  <w:num w:numId="5" w16cid:durableId="255136495">
    <w:abstractNumId w:val="11"/>
  </w:num>
  <w:num w:numId="6" w16cid:durableId="33550317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247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116477">
    <w:abstractNumId w:val="17"/>
  </w:num>
  <w:num w:numId="9" w16cid:durableId="1090004145">
    <w:abstractNumId w:val="10"/>
  </w:num>
  <w:num w:numId="10" w16cid:durableId="1326666928">
    <w:abstractNumId w:val="14"/>
  </w:num>
  <w:num w:numId="11" w16cid:durableId="546797965">
    <w:abstractNumId w:val="12"/>
  </w:num>
  <w:num w:numId="12" w16cid:durableId="1481314236">
    <w:abstractNumId w:val="15"/>
  </w:num>
  <w:num w:numId="13" w16cid:durableId="1166704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5310939">
    <w:abstractNumId w:val="16"/>
  </w:num>
  <w:num w:numId="15" w16cid:durableId="31924460">
    <w:abstractNumId w:val="3"/>
  </w:num>
  <w:num w:numId="16" w16cid:durableId="1073821542">
    <w:abstractNumId w:val="7"/>
  </w:num>
  <w:num w:numId="17" w16cid:durableId="191966974">
    <w:abstractNumId w:val="0"/>
  </w:num>
  <w:num w:numId="18" w16cid:durableId="2026133113">
    <w:abstractNumId w:val="18"/>
  </w:num>
  <w:num w:numId="19" w16cid:durableId="782263165">
    <w:abstractNumId w:val="6"/>
  </w:num>
  <w:num w:numId="20" w16cid:durableId="208263439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3636595">
    <w:abstractNumId w:val="3"/>
  </w:num>
  <w:num w:numId="22" w16cid:durableId="544101894">
    <w:abstractNumId w:val="1"/>
  </w:num>
  <w:num w:numId="23" w16cid:durableId="2103337653">
    <w:abstractNumId w:val="9"/>
  </w:num>
  <w:num w:numId="24" w16cid:durableId="1235499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matický obrazec 21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2BE"/>
    <w:rsid w:val="0000032E"/>
    <w:rsid w:val="00000B2A"/>
    <w:rsid w:val="00000DBD"/>
    <w:rsid w:val="00004399"/>
    <w:rsid w:val="00004DDA"/>
    <w:rsid w:val="0000673A"/>
    <w:rsid w:val="000104D1"/>
    <w:rsid w:val="0001093F"/>
    <w:rsid w:val="00010E48"/>
    <w:rsid w:val="000112EE"/>
    <w:rsid w:val="0001186B"/>
    <w:rsid w:val="000120C1"/>
    <w:rsid w:val="00012267"/>
    <w:rsid w:val="00012F3A"/>
    <w:rsid w:val="00013FE6"/>
    <w:rsid w:val="0001431E"/>
    <w:rsid w:val="00016BB6"/>
    <w:rsid w:val="00024116"/>
    <w:rsid w:val="00024305"/>
    <w:rsid w:val="00024566"/>
    <w:rsid w:val="00024EF0"/>
    <w:rsid w:val="000255A4"/>
    <w:rsid w:val="000255B9"/>
    <w:rsid w:val="00025CFC"/>
    <w:rsid w:val="000310F5"/>
    <w:rsid w:val="00032F18"/>
    <w:rsid w:val="000332FC"/>
    <w:rsid w:val="00033F2A"/>
    <w:rsid w:val="00035868"/>
    <w:rsid w:val="00035C28"/>
    <w:rsid w:val="00037F8B"/>
    <w:rsid w:val="00040C93"/>
    <w:rsid w:val="00041B4D"/>
    <w:rsid w:val="00044017"/>
    <w:rsid w:val="00045DFC"/>
    <w:rsid w:val="0004631F"/>
    <w:rsid w:val="0004707D"/>
    <w:rsid w:val="0004771F"/>
    <w:rsid w:val="00047742"/>
    <w:rsid w:val="00047A20"/>
    <w:rsid w:val="00050711"/>
    <w:rsid w:val="00051081"/>
    <w:rsid w:val="0005135D"/>
    <w:rsid w:val="000530CD"/>
    <w:rsid w:val="00053125"/>
    <w:rsid w:val="00053E4D"/>
    <w:rsid w:val="00056191"/>
    <w:rsid w:val="0005795C"/>
    <w:rsid w:val="000614A7"/>
    <w:rsid w:val="0006161F"/>
    <w:rsid w:val="00062167"/>
    <w:rsid w:val="0006342E"/>
    <w:rsid w:val="000644E5"/>
    <w:rsid w:val="0006554E"/>
    <w:rsid w:val="00065B89"/>
    <w:rsid w:val="000662E8"/>
    <w:rsid w:val="000706A6"/>
    <w:rsid w:val="000709D5"/>
    <w:rsid w:val="00070E78"/>
    <w:rsid w:val="00071206"/>
    <w:rsid w:val="00073E72"/>
    <w:rsid w:val="000751D4"/>
    <w:rsid w:val="000763AE"/>
    <w:rsid w:val="000769B0"/>
    <w:rsid w:val="00076F9F"/>
    <w:rsid w:val="0007738F"/>
    <w:rsid w:val="00077733"/>
    <w:rsid w:val="00080352"/>
    <w:rsid w:val="000822DB"/>
    <w:rsid w:val="000826F9"/>
    <w:rsid w:val="000834DD"/>
    <w:rsid w:val="0008384F"/>
    <w:rsid w:val="00083FC1"/>
    <w:rsid w:val="0008638B"/>
    <w:rsid w:val="000864B9"/>
    <w:rsid w:val="000872F3"/>
    <w:rsid w:val="00090452"/>
    <w:rsid w:val="00090537"/>
    <w:rsid w:val="00093483"/>
    <w:rsid w:val="0009508F"/>
    <w:rsid w:val="00095230"/>
    <w:rsid w:val="00095B9C"/>
    <w:rsid w:val="0009792B"/>
    <w:rsid w:val="000A3A04"/>
    <w:rsid w:val="000A7C18"/>
    <w:rsid w:val="000B0478"/>
    <w:rsid w:val="000B1A8A"/>
    <w:rsid w:val="000B2947"/>
    <w:rsid w:val="000B3238"/>
    <w:rsid w:val="000B352A"/>
    <w:rsid w:val="000B4E77"/>
    <w:rsid w:val="000B5C72"/>
    <w:rsid w:val="000C1229"/>
    <w:rsid w:val="000C2781"/>
    <w:rsid w:val="000C44EF"/>
    <w:rsid w:val="000C52D1"/>
    <w:rsid w:val="000C5FC8"/>
    <w:rsid w:val="000C73CE"/>
    <w:rsid w:val="000C75F3"/>
    <w:rsid w:val="000C7758"/>
    <w:rsid w:val="000D0AAB"/>
    <w:rsid w:val="000D1E20"/>
    <w:rsid w:val="000D27C9"/>
    <w:rsid w:val="000D38CF"/>
    <w:rsid w:val="000D39E9"/>
    <w:rsid w:val="000D3A32"/>
    <w:rsid w:val="000D3C5D"/>
    <w:rsid w:val="000D678F"/>
    <w:rsid w:val="000E0CE3"/>
    <w:rsid w:val="000E1C1A"/>
    <w:rsid w:val="000E244B"/>
    <w:rsid w:val="000E2D99"/>
    <w:rsid w:val="000E603D"/>
    <w:rsid w:val="000E7134"/>
    <w:rsid w:val="000E7663"/>
    <w:rsid w:val="000E7D12"/>
    <w:rsid w:val="000F0E2E"/>
    <w:rsid w:val="000F1745"/>
    <w:rsid w:val="000F1B44"/>
    <w:rsid w:val="000F1FCC"/>
    <w:rsid w:val="000F4A1A"/>
    <w:rsid w:val="000F769E"/>
    <w:rsid w:val="00100FA2"/>
    <w:rsid w:val="00101BE3"/>
    <w:rsid w:val="00101D4C"/>
    <w:rsid w:val="00102441"/>
    <w:rsid w:val="00102F95"/>
    <w:rsid w:val="0010372C"/>
    <w:rsid w:val="00104276"/>
    <w:rsid w:val="001050EF"/>
    <w:rsid w:val="0010534F"/>
    <w:rsid w:val="00107684"/>
    <w:rsid w:val="0010788D"/>
    <w:rsid w:val="0011004D"/>
    <w:rsid w:val="00110176"/>
    <w:rsid w:val="00112559"/>
    <w:rsid w:val="0011369E"/>
    <w:rsid w:val="00115BC5"/>
    <w:rsid w:val="001174D3"/>
    <w:rsid w:val="00117DAB"/>
    <w:rsid w:val="00120D36"/>
    <w:rsid w:val="0012118F"/>
    <w:rsid w:val="00122069"/>
    <w:rsid w:val="0012366E"/>
    <w:rsid w:val="001237A0"/>
    <w:rsid w:val="0012484B"/>
    <w:rsid w:val="00124BC5"/>
    <w:rsid w:val="00126FE3"/>
    <w:rsid w:val="001308EE"/>
    <w:rsid w:val="00130A68"/>
    <w:rsid w:val="00131085"/>
    <w:rsid w:val="00131A07"/>
    <w:rsid w:val="00131D39"/>
    <w:rsid w:val="00132E7A"/>
    <w:rsid w:val="00132EDA"/>
    <w:rsid w:val="00133E61"/>
    <w:rsid w:val="00134B54"/>
    <w:rsid w:val="00136B04"/>
    <w:rsid w:val="00140200"/>
    <w:rsid w:val="00142EA9"/>
    <w:rsid w:val="00143E5F"/>
    <w:rsid w:val="0014693C"/>
    <w:rsid w:val="001478F8"/>
    <w:rsid w:val="001511E4"/>
    <w:rsid w:val="001515A3"/>
    <w:rsid w:val="0015279B"/>
    <w:rsid w:val="001539A5"/>
    <w:rsid w:val="0015551F"/>
    <w:rsid w:val="00155989"/>
    <w:rsid w:val="00160E66"/>
    <w:rsid w:val="00164224"/>
    <w:rsid w:val="00165167"/>
    <w:rsid w:val="0016580B"/>
    <w:rsid w:val="00165BE5"/>
    <w:rsid w:val="00165EB2"/>
    <w:rsid w:val="0016677A"/>
    <w:rsid w:val="00166E07"/>
    <w:rsid w:val="0017038D"/>
    <w:rsid w:val="00171FD1"/>
    <w:rsid w:val="00172840"/>
    <w:rsid w:val="0017559D"/>
    <w:rsid w:val="00175B40"/>
    <w:rsid w:val="001772F5"/>
    <w:rsid w:val="00177C79"/>
    <w:rsid w:val="00180057"/>
    <w:rsid w:val="0018103E"/>
    <w:rsid w:val="00181E6A"/>
    <w:rsid w:val="00182114"/>
    <w:rsid w:val="00182A55"/>
    <w:rsid w:val="00182F21"/>
    <w:rsid w:val="00186EFE"/>
    <w:rsid w:val="00186FD0"/>
    <w:rsid w:val="00187472"/>
    <w:rsid w:val="00187E7F"/>
    <w:rsid w:val="00193BBC"/>
    <w:rsid w:val="00195383"/>
    <w:rsid w:val="00196589"/>
    <w:rsid w:val="001A23AA"/>
    <w:rsid w:val="001A6DF7"/>
    <w:rsid w:val="001A6F42"/>
    <w:rsid w:val="001A7663"/>
    <w:rsid w:val="001A7B69"/>
    <w:rsid w:val="001B069C"/>
    <w:rsid w:val="001B0D90"/>
    <w:rsid w:val="001B10B2"/>
    <w:rsid w:val="001B1A9B"/>
    <w:rsid w:val="001B35D1"/>
    <w:rsid w:val="001B5FFA"/>
    <w:rsid w:val="001B7DCA"/>
    <w:rsid w:val="001C061B"/>
    <w:rsid w:val="001C1128"/>
    <w:rsid w:val="001C28AC"/>
    <w:rsid w:val="001C319E"/>
    <w:rsid w:val="001C3223"/>
    <w:rsid w:val="001C3C6B"/>
    <w:rsid w:val="001C502E"/>
    <w:rsid w:val="001C57F6"/>
    <w:rsid w:val="001C6B22"/>
    <w:rsid w:val="001C6F81"/>
    <w:rsid w:val="001C79CF"/>
    <w:rsid w:val="001D1341"/>
    <w:rsid w:val="001D187E"/>
    <w:rsid w:val="001D3C6D"/>
    <w:rsid w:val="001D3DC0"/>
    <w:rsid w:val="001D4BE9"/>
    <w:rsid w:val="001D5AB3"/>
    <w:rsid w:val="001D61CD"/>
    <w:rsid w:val="001D70D4"/>
    <w:rsid w:val="001D7B13"/>
    <w:rsid w:val="001E1B9B"/>
    <w:rsid w:val="001E1DBA"/>
    <w:rsid w:val="001E406C"/>
    <w:rsid w:val="001E40F5"/>
    <w:rsid w:val="001E4B6B"/>
    <w:rsid w:val="001F328C"/>
    <w:rsid w:val="001F390C"/>
    <w:rsid w:val="001F3C7C"/>
    <w:rsid w:val="001F4CF4"/>
    <w:rsid w:val="001F5C03"/>
    <w:rsid w:val="00201505"/>
    <w:rsid w:val="002028B2"/>
    <w:rsid w:val="00202966"/>
    <w:rsid w:val="00204DE2"/>
    <w:rsid w:val="00206731"/>
    <w:rsid w:val="00207545"/>
    <w:rsid w:val="00207E77"/>
    <w:rsid w:val="0021125B"/>
    <w:rsid w:val="002173A4"/>
    <w:rsid w:val="00220B31"/>
    <w:rsid w:val="00223615"/>
    <w:rsid w:val="0022373C"/>
    <w:rsid w:val="002262FC"/>
    <w:rsid w:val="002264B4"/>
    <w:rsid w:val="00226512"/>
    <w:rsid w:val="0022657E"/>
    <w:rsid w:val="00230FD5"/>
    <w:rsid w:val="00231181"/>
    <w:rsid w:val="002311C9"/>
    <w:rsid w:val="00232564"/>
    <w:rsid w:val="00234A5C"/>
    <w:rsid w:val="00234E83"/>
    <w:rsid w:val="0023540F"/>
    <w:rsid w:val="002359A4"/>
    <w:rsid w:val="002376FB"/>
    <w:rsid w:val="00237A16"/>
    <w:rsid w:val="00240589"/>
    <w:rsid w:val="00242156"/>
    <w:rsid w:val="00242CA2"/>
    <w:rsid w:val="00242CD4"/>
    <w:rsid w:val="00244001"/>
    <w:rsid w:val="00244B12"/>
    <w:rsid w:val="0024512E"/>
    <w:rsid w:val="00245423"/>
    <w:rsid w:val="0024565F"/>
    <w:rsid w:val="00245C1D"/>
    <w:rsid w:val="00246E9C"/>
    <w:rsid w:val="00247125"/>
    <w:rsid w:val="00247522"/>
    <w:rsid w:val="0024788C"/>
    <w:rsid w:val="00251279"/>
    <w:rsid w:val="00252734"/>
    <w:rsid w:val="002557D9"/>
    <w:rsid w:val="002576A3"/>
    <w:rsid w:val="00260729"/>
    <w:rsid w:val="002609D7"/>
    <w:rsid w:val="00260F74"/>
    <w:rsid w:val="002613A6"/>
    <w:rsid w:val="002617AE"/>
    <w:rsid w:val="002621CA"/>
    <w:rsid w:val="00263EB9"/>
    <w:rsid w:val="0026572B"/>
    <w:rsid w:val="002665E6"/>
    <w:rsid w:val="0026708D"/>
    <w:rsid w:val="0027010E"/>
    <w:rsid w:val="002704B0"/>
    <w:rsid w:val="002710B1"/>
    <w:rsid w:val="002710F5"/>
    <w:rsid w:val="0027215F"/>
    <w:rsid w:val="00274C6B"/>
    <w:rsid w:val="00275302"/>
    <w:rsid w:val="002765B6"/>
    <w:rsid w:val="00276724"/>
    <w:rsid w:val="00277440"/>
    <w:rsid w:val="002774CD"/>
    <w:rsid w:val="00283A04"/>
    <w:rsid w:val="002858C0"/>
    <w:rsid w:val="00286AC1"/>
    <w:rsid w:val="00287962"/>
    <w:rsid w:val="002932FA"/>
    <w:rsid w:val="002938B2"/>
    <w:rsid w:val="00297CFE"/>
    <w:rsid w:val="002A1A71"/>
    <w:rsid w:val="002A2158"/>
    <w:rsid w:val="002A4DDE"/>
    <w:rsid w:val="002A5EAA"/>
    <w:rsid w:val="002A7D5E"/>
    <w:rsid w:val="002B118C"/>
    <w:rsid w:val="002B48E9"/>
    <w:rsid w:val="002B4E9F"/>
    <w:rsid w:val="002B4F38"/>
    <w:rsid w:val="002B50BC"/>
    <w:rsid w:val="002B6DBF"/>
    <w:rsid w:val="002B7418"/>
    <w:rsid w:val="002C038B"/>
    <w:rsid w:val="002C166A"/>
    <w:rsid w:val="002C421E"/>
    <w:rsid w:val="002C48C5"/>
    <w:rsid w:val="002D06D9"/>
    <w:rsid w:val="002D1B1D"/>
    <w:rsid w:val="002D1E1E"/>
    <w:rsid w:val="002D4E2D"/>
    <w:rsid w:val="002D521A"/>
    <w:rsid w:val="002D559B"/>
    <w:rsid w:val="002D742C"/>
    <w:rsid w:val="002E4542"/>
    <w:rsid w:val="002E7822"/>
    <w:rsid w:val="002F0E29"/>
    <w:rsid w:val="002F18F7"/>
    <w:rsid w:val="002F55EA"/>
    <w:rsid w:val="002F580B"/>
    <w:rsid w:val="002F6CA7"/>
    <w:rsid w:val="002F6E5A"/>
    <w:rsid w:val="00300BA8"/>
    <w:rsid w:val="00301D27"/>
    <w:rsid w:val="00304D78"/>
    <w:rsid w:val="00306ED9"/>
    <w:rsid w:val="00307941"/>
    <w:rsid w:val="00307C27"/>
    <w:rsid w:val="00311526"/>
    <w:rsid w:val="00313A76"/>
    <w:rsid w:val="003154AD"/>
    <w:rsid w:val="00316DE7"/>
    <w:rsid w:val="00320893"/>
    <w:rsid w:val="00322635"/>
    <w:rsid w:val="00323985"/>
    <w:rsid w:val="00330E16"/>
    <w:rsid w:val="00330E99"/>
    <w:rsid w:val="00332FD6"/>
    <w:rsid w:val="00335308"/>
    <w:rsid w:val="003355DD"/>
    <w:rsid w:val="0033719C"/>
    <w:rsid w:val="00337715"/>
    <w:rsid w:val="00337C88"/>
    <w:rsid w:val="00340A38"/>
    <w:rsid w:val="00340E99"/>
    <w:rsid w:val="00340F5D"/>
    <w:rsid w:val="00342A9B"/>
    <w:rsid w:val="00343564"/>
    <w:rsid w:val="003438AF"/>
    <w:rsid w:val="00344A0B"/>
    <w:rsid w:val="00344C3B"/>
    <w:rsid w:val="00345F20"/>
    <w:rsid w:val="00346605"/>
    <w:rsid w:val="00347EAE"/>
    <w:rsid w:val="00351BE6"/>
    <w:rsid w:val="003528ED"/>
    <w:rsid w:val="00352AF2"/>
    <w:rsid w:val="00354B89"/>
    <w:rsid w:val="00355A47"/>
    <w:rsid w:val="00356D4B"/>
    <w:rsid w:val="00362A9B"/>
    <w:rsid w:val="00362F13"/>
    <w:rsid w:val="003630A6"/>
    <w:rsid w:val="0036347E"/>
    <w:rsid w:val="00365736"/>
    <w:rsid w:val="003672F3"/>
    <w:rsid w:val="00367798"/>
    <w:rsid w:val="003700FD"/>
    <w:rsid w:val="003701C6"/>
    <w:rsid w:val="003707F6"/>
    <w:rsid w:val="00370BCC"/>
    <w:rsid w:val="00371468"/>
    <w:rsid w:val="0037259C"/>
    <w:rsid w:val="00372673"/>
    <w:rsid w:val="0037326F"/>
    <w:rsid w:val="00373D29"/>
    <w:rsid w:val="00374794"/>
    <w:rsid w:val="003761FA"/>
    <w:rsid w:val="00377730"/>
    <w:rsid w:val="00377790"/>
    <w:rsid w:val="00377CEC"/>
    <w:rsid w:val="00380DD4"/>
    <w:rsid w:val="00381B84"/>
    <w:rsid w:val="00382153"/>
    <w:rsid w:val="003835D6"/>
    <w:rsid w:val="00384395"/>
    <w:rsid w:val="00385DCC"/>
    <w:rsid w:val="00385F77"/>
    <w:rsid w:val="00386449"/>
    <w:rsid w:val="00387613"/>
    <w:rsid w:val="00392C23"/>
    <w:rsid w:val="0039377B"/>
    <w:rsid w:val="003940B5"/>
    <w:rsid w:val="00394750"/>
    <w:rsid w:val="00395F48"/>
    <w:rsid w:val="003A0443"/>
    <w:rsid w:val="003A1AAE"/>
    <w:rsid w:val="003A1DA2"/>
    <w:rsid w:val="003A22FD"/>
    <w:rsid w:val="003A24D1"/>
    <w:rsid w:val="003A290B"/>
    <w:rsid w:val="003A30ED"/>
    <w:rsid w:val="003A6194"/>
    <w:rsid w:val="003B016F"/>
    <w:rsid w:val="003B136A"/>
    <w:rsid w:val="003B1AED"/>
    <w:rsid w:val="003B2661"/>
    <w:rsid w:val="003B4C27"/>
    <w:rsid w:val="003B5D1C"/>
    <w:rsid w:val="003B5EE8"/>
    <w:rsid w:val="003B647C"/>
    <w:rsid w:val="003B6562"/>
    <w:rsid w:val="003B673F"/>
    <w:rsid w:val="003C287C"/>
    <w:rsid w:val="003C2B02"/>
    <w:rsid w:val="003C2C15"/>
    <w:rsid w:val="003C3613"/>
    <w:rsid w:val="003C46AB"/>
    <w:rsid w:val="003C6C55"/>
    <w:rsid w:val="003D20E2"/>
    <w:rsid w:val="003D488A"/>
    <w:rsid w:val="003D5DB7"/>
    <w:rsid w:val="003E0514"/>
    <w:rsid w:val="003E0D0F"/>
    <w:rsid w:val="003E1266"/>
    <w:rsid w:val="003E1582"/>
    <w:rsid w:val="003E3140"/>
    <w:rsid w:val="003E4630"/>
    <w:rsid w:val="003E513F"/>
    <w:rsid w:val="003E586E"/>
    <w:rsid w:val="003E750C"/>
    <w:rsid w:val="003F0878"/>
    <w:rsid w:val="003F0980"/>
    <w:rsid w:val="003F12E9"/>
    <w:rsid w:val="003F147E"/>
    <w:rsid w:val="003F72EB"/>
    <w:rsid w:val="00400C04"/>
    <w:rsid w:val="004014BD"/>
    <w:rsid w:val="004023E1"/>
    <w:rsid w:val="00402708"/>
    <w:rsid w:val="00404922"/>
    <w:rsid w:val="004054B1"/>
    <w:rsid w:val="004058AF"/>
    <w:rsid w:val="004058C5"/>
    <w:rsid w:val="004062EE"/>
    <w:rsid w:val="0040716C"/>
    <w:rsid w:val="00407AA1"/>
    <w:rsid w:val="00410630"/>
    <w:rsid w:val="00411AAB"/>
    <w:rsid w:val="0041491B"/>
    <w:rsid w:val="004150E0"/>
    <w:rsid w:val="00416083"/>
    <w:rsid w:val="00416A2E"/>
    <w:rsid w:val="004230E7"/>
    <w:rsid w:val="00423460"/>
    <w:rsid w:val="0042381F"/>
    <w:rsid w:val="004257A3"/>
    <w:rsid w:val="00425E97"/>
    <w:rsid w:val="00427638"/>
    <w:rsid w:val="004303EE"/>
    <w:rsid w:val="00430987"/>
    <w:rsid w:val="004337A9"/>
    <w:rsid w:val="00434D95"/>
    <w:rsid w:val="0043542D"/>
    <w:rsid w:val="004363F0"/>
    <w:rsid w:val="00437691"/>
    <w:rsid w:val="00440970"/>
    <w:rsid w:val="00443640"/>
    <w:rsid w:val="004455BC"/>
    <w:rsid w:val="00445852"/>
    <w:rsid w:val="00446994"/>
    <w:rsid w:val="00446A51"/>
    <w:rsid w:val="00446C25"/>
    <w:rsid w:val="004470CD"/>
    <w:rsid w:val="00447E8B"/>
    <w:rsid w:val="00450531"/>
    <w:rsid w:val="00450F76"/>
    <w:rsid w:val="00452340"/>
    <w:rsid w:val="00454006"/>
    <w:rsid w:val="0045419E"/>
    <w:rsid w:val="00454834"/>
    <w:rsid w:val="00454876"/>
    <w:rsid w:val="004552C3"/>
    <w:rsid w:val="00457D46"/>
    <w:rsid w:val="00460D3B"/>
    <w:rsid w:val="00465383"/>
    <w:rsid w:val="00465CAC"/>
    <w:rsid w:val="00466806"/>
    <w:rsid w:val="004669EC"/>
    <w:rsid w:val="00466C80"/>
    <w:rsid w:val="00466F0F"/>
    <w:rsid w:val="004700FA"/>
    <w:rsid w:val="00471A74"/>
    <w:rsid w:val="00472F0F"/>
    <w:rsid w:val="00473669"/>
    <w:rsid w:val="004750AD"/>
    <w:rsid w:val="00482660"/>
    <w:rsid w:val="00483E9E"/>
    <w:rsid w:val="004840B4"/>
    <w:rsid w:val="004842BB"/>
    <w:rsid w:val="004863A3"/>
    <w:rsid w:val="004907C1"/>
    <w:rsid w:val="00491166"/>
    <w:rsid w:val="00492656"/>
    <w:rsid w:val="00495C98"/>
    <w:rsid w:val="004A2097"/>
    <w:rsid w:val="004A22E2"/>
    <w:rsid w:val="004A2C2E"/>
    <w:rsid w:val="004A441B"/>
    <w:rsid w:val="004A44AF"/>
    <w:rsid w:val="004A689E"/>
    <w:rsid w:val="004B1AA2"/>
    <w:rsid w:val="004B2217"/>
    <w:rsid w:val="004B2607"/>
    <w:rsid w:val="004B60C9"/>
    <w:rsid w:val="004B665F"/>
    <w:rsid w:val="004B692D"/>
    <w:rsid w:val="004B7B9E"/>
    <w:rsid w:val="004C0C10"/>
    <w:rsid w:val="004C0D0E"/>
    <w:rsid w:val="004C2084"/>
    <w:rsid w:val="004C5010"/>
    <w:rsid w:val="004D0353"/>
    <w:rsid w:val="004D0BE3"/>
    <w:rsid w:val="004D4023"/>
    <w:rsid w:val="004D45D4"/>
    <w:rsid w:val="004D4CD8"/>
    <w:rsid w:val="004D4E43"/>
    <w:rsid w:val="004D6CC6"/>
    <w:rsid w:val="004D7C02"/>
    <w:rsid w:val="004E04F8"/>
    <w:rsid w:val="004E082C"/>
    <w:rsid w:val="004E0C91"/>
    <w:rsid w:val="004E4D38"/>
    <w:rsid w:val="004E6CC3"/>
    <w:rsid w:val="004F078A"/>
    <w:rsid w:val="004F0C5E"/>
    <w:rsid w:val="004F5219"/>
    <w:rsid w:val="004F6B9E"/>
    <w:rsid w:val="0050200B"/>
    <w:rsid w:val="00502678"/>
    <w:rsid w:val="005036C2"/>
    <w:rsid w:val="00504E26"/>
    <w:rsid w:val="00510F49"/>
    <w:rsid w:val="00511F36"/>
    <w:rsid w:val="00511FBC"/>
    <w:rsid w:val="0051310D"/>
    <w:rsid w:val="00514E63"/>
    <w:rsid w:val="0051528F"/>
    <w:rsid w:val="005152AF"/>
    <w:rsid w:val="00515691"/>
    <w:rsid w:val="00517A58"/>
    <w:rsid w:val="00517DB7"/>
    <w:rsid w:val="00517E33"/>
    <w:rsid w:val="00522B5C"/>
    <w:rsid w:val="00523CC4"/>
    <w:rsid w:val="00527915"/>
    <w:rsid w:val="0053067D"/>
    <w:rsid w:val="005306A7"/>
    <w:rsid w:val="00531DF1"/>
    <w:rsid w:val="005321A1"/>
    <w:rsid w:val="005344A5"/>
    <w:rsid w:val="00534D75"/>
    <w:rsid w:val="00534E3E"/>
    <w:rsid w:val="00535340"/>
    <w:rsid w:val="00536E3A"/>
    <w:rsid w:val="005400EF"/>
    <w:rsid w:val="005428B0"/>
    <w:rsid w:val="00543D10"/>
    <w:rsid w:val="005440AD"/>
    <w:rsid w:val="005454BC"/>
    <w:rsid w:val="00546D63"/>
    <w:rsid w:val="005479A7"/>
    <w:rsid w:val="00547F19"/>
    <w:rsid w:val="005527E9"/>
    <w:rsid w:val="00553D18"/>
    <w:rsid w:val="00554F53"/>
    <w:rsid w:val="00556EAF"/>
    <w:rsid w:val="00563015"/>
    <w:rsid w:val="005633E0"/>
    <w:rsid w:val="005637E4"/>
    <w:rsid w:val="00563C12"/>
    <w:rsid w:val="005648B3"/>
    <w:rsid w:val="00564C84"/>
    <w:rsid w:val="00570020"/>
    <w:rsid w:val="005718C6"/>
    <w:rsid w:val="005749B1"/>
    <w:rsid w:val="005752A2"/>
    <w:rsid w:val="00575BEA"/>
    <w:rsid w:val="00575FF2"/>
    <w:rsid w:val="0057679B"/>
    <w:rsid w:val="0057705B"/>
    <w:rsid w:val="00577472"/>
    <w:rsid w:val="005807DB"/>
    <w:rsid w:val="00580D5D"/>
    <w:rsid w:val="00583611"/>
    <w:rsid w:val="00583AE2"/>
    <w:rsid w:val="00583F07"/>
    <w:rsid w:val="00584492"/>
    <w:rsid w:val="00590C0C"/>
    <w:rsid w:val="005916D7"/>
    <w:rsid w:val="005924C7"/>
    <w:rsid w:val="00592D39"/>
    <w:rsid w:val="0059489E"/>
    <w:rsid w:val="00596C6F"/>
    <w:rsid w:val="005A05E3"/>
    <w:rsid w:val="005A0C28"/>
    <w:rsid w:val="005A1A2B"/>
    <w:rsid w:val="005A2C81"/>
    <w:rsid w:val="005A2FD0"/>
    <w:rsid w:val="005A373A"/>
    <w:rsid w:val="005A3C56"/>
    <w:rsid w:val="005A3F17"/>
    <w:rsid w:val="005A4272"/>
    <w:rsid w:val="005A4667"/>
    <w:rsid w:val="005A56DF"/>
    <w:rsid w:val="005A5F68"/>
    <w:rsid w:val="005A68EE"/>
    <w:rsid w:val="005A6D35"/>
    <w:rsid w:val="005A784C"/>
    <w:rsid w:val="005B00E6"/>
    <w:rsid w:val="005B0639"/>
    <w:rsid w:val="005B36B3"/>
    <w:rsid w:val="005B38AA"/>
    <w:rsid w:val="005B42C4"/>
    <w:rsid w:val="005B5D6F"/>
    <w:rsid w:val="005B5F7C"/>
    <w:rsid w:val="005B60F9"/>
    <w:rsid w:val="005C0114"/>
    <w:rsid w:val="005C1240"/>
    <w:rsid w:val="005C2110"/>
    <w:rsid w:val="005C2884"/>
    <w:rsid w:val="005C31E2"/>
    <w:rsid w:val="005C57D4"/>
    <w:rsid w:val="005C6A1B"/>
    <w:rsid w:val="005C6F1E"/>
    <w:rsid w:val="005C7E41"/>
    <w:rsid w:val="005D1E26"/>
    <w:rsid w:val="005D3A23"/>
    <w:rsid w:val="005D3A4A"/>
    <w:rsid w:val="005D4113"/>
    <w:rsid w:val="005D432D"/>
    <w:rsid w:val="005D4381"/>
    <w:rsid w:val="005D494C"/>
    <w:rsid w:val="005D4A57"/>
    <w:rsid w:val="005D5D86"/>
    <w:rsid w:val="005D71BE"/>
    <w:rsid w:val="005E0863"/>
    <w:rsid w:val="005E0DDA"/>
    <w:rsid w:val="005E1A73"/>
    <w:rsid w:val="005E1CBA"/>
    <w:rsid w:val="005E1E92"/>
    <w:rsid w:val="005E30BA"/>
    <w:rsid w:val="005E3A67"/>
    <w:rsid w:val="005E3BD4"/>
    <w:rsid w:val="005E560D"/>
    <w:rsid w:val="005E58F6"/>
    <w:rsid w:val="005E6D49"/>
    <w:rsid w:val="005E6EE2"/>
    <w:rsid w:val="005E7980"/>
    <w:rsid w:val="005F03D2"/>
    <w:rsid w:val="005F04BE"/>
    <w:rsid w:val="005F0FCF"/>
    <w:rsid w:val="005F0FEC"/>
    <w:rsid w:val="005F10BF"/>
    <w:rsid w:val="005F2564"/>
    <w:rsid w:val="005F32F0"/>
    <w:rsid w:val="005F39C1"/>
    <w:rsid w:val="005F460A"/>
    <w:rsid w:val="005F5B24"/>
    <w:rsid w:val="005F5FE2"/>
    <w:rsid w:val="00602EBF"/>
    <w:rsid w:val="00603AD5"/>
    <w:rsid w:val="00605D40"/>
    <w:rsid w:val="00606ABE"/>
    <w:rsid w:val="00606E3E"/>
    <w:rsid w:val="006073B1"/>
    <w:rsid w:val="00607A22"/>
    <w:rsid w:val="006110EE"/>
    <w:rsid w:val="00611D0F"/>
    <w:rsid w:val="00611D7C"/>
    <w:rsid w:val="00615047"/>
    <w:rsid w:val="00616AB5"/>
    <w:rsid w:val="00617920"/>
    <w:rsid w:val="00620B50"/>
    <w:rsid w:val="0062217C"/>
    <w:rsid w:val="00623DF6"/>
    <w:rsid w:val="006249F5"/>
    <w:rsid w:val="006250EF"/>
    <w:rsid w:val="00625264"/>
    <w:rsid w:val="006269E9"/>
    <w:rsid w:val="00626FE2"/>
    <w:rsid w:val="00627D83"/>
    <w:rsid w:val="0063031E"/>
    <w:rsid w:val="006304E7"/>
    <w:rsid w:val="00631CAE"/>
    <w:rsid w:val="00632B5D"/>
    <w:rsid w:val="0063357B"/>
    <w:rsid w:val="006346CF"/>
    <w:rsid w:val="00636304"/>
    <w:rsid w:val="0063660B"/>
    <w:rsid w:val="00644185"/>
    <w:rsid w:val="0064789B"/>
    <w:rsid w:val="00650320"/>
    <w:rsid w:val="00651F5B"/>
    <w:rsid w:val="0065207D"/>
    <w:rsid w:val="00653799"/>
    <w:rsid w:val="006538AD"/>
    <w:rsid w:val="00653AA2"/>
    <w:rsid w:val="0065517B"/>
    <w:rsid w:val="00655F54"/>
    <w:rsid w:val="006571DA"/>
    <w:rsid w:val="00663CF2"/>
    <w:rsid w:val="006644A7"/>
    <w:rsid w:val="006648D9"/>
    <w:rsid w:val="006651D2"/>
    <w:rsid w:val="006658F8"/>
    <w:rsid w:val="00666A52"/>
    <w:rsid w:val="00667067"/>
    <w:rsid w:val="00667593"/>
    <w:rsid w:val="00671471"/>
    <w:rsid w:val="006717F8"/>
    <w:rsid w:val="00674481"/>
    <w:rsid w:val="006747D2"/>
    <w:rsid w:val="006769ED"/>
    <w:rsid w:val="00677F90"/>
    <w:rsid w:val="00680595"/>
    <w:rsid w:val="00680AD4"/>
    <w:rsid w:val="006810AC"/>
    <w:rsid w:val="00683A8E"/>
    <w:rsid w:val="00683FE3"/>
    <w:rsid w:val="00685719"/>
    <w:rsid w:val="00686B08"/>
    <w:rsid w:val="00687105"/>
    <w:rsid w:val="00687BF6"/>
    <w:rsid w:val="0069177C"/>
    <w:rsid w:val="00692900"/>
    <w:rsid w:val="00694838"/>
    <w:rsid w:val="00695108"/>
    <w:rsid w:val="006956D7"/>
    <w:rsid w:val="00696C0A"/>
    <w:rsid w:val="00697C76"/>
    <w:rsid w:val="006A1B70"/>
    <w:rsid w:val="006A1F36"/>
    <w:rsid w:val="006A1F54"/>
    <w:rsid w:val="006A253B"/>
    <w:rsid w:val="006A4063"/>
    <w:rsid w:val="006A5CA4"/>
    <w:rsid w:val="006A7627"/>
    <w:rsid w:val="006B17CE"/>
    <w:rsid w:val="006B1F3E"/>
    <w:rsid w:val="006B20CD"/>
    <w:rsid w:val="006B26B0"/>
    <w:rsid w:val="006B542E"/>
    <w:rsid w:val="006B569A"/>
    <w:rsid w:val="006B5FB6"/>
    <w:rsid w:val="006C420B"/>
    <w:rsid w:val="006C6A8B"/>
    <w:rsid w:val="006D09CF"/>
    <w:rsid w:val="006D21A4"/>
    <w:rsid w:val="006D2249"/>
    <w:rsid w:val="006D247A"/>
    <w:rsid w:val="006D37C6"/>
    <w:rsid w:val="006D464D"/>
    <w:rsid w:val="006D5DB9"/>
    <w:rsid w:val="006D6063"/>
    <w:rsid w:val="006D617F"/>
    <w:rsid w:val="006D63D0"/>
    <w:rsid w:val="006D7F58"/>
    <w:rsid w:val="006E2A0E"/>
    <w:rsid w:val="006E41DF"/>
    <w:rsid w:val="006E4273"/>
    <w:rsid w:val="006E4BA2"/>
    <w:rsid w:val="006E4EDF"/>
    <w:rsid w:val="006F1634"/>
    <w:rsid w:val="006F18EC"/>
    <w:rsid w:val="006F2E2D"/>
    <w:rsid w:val="006F39B9"/>
    <w:rsid w:val="006F3B0B"/>
    <w:rsid w:val="006F46F3"/>
    <w:rsid w:val="006F5664"/>
    <w:rsid w:val="006F7A27"/>
    <w:rsid w:val="00700379"/>
    <w:rsid w:val="007014D7"/>
    <w:rsid w:val="007034A1"/>
    <w:rsid w:val="00703539"/>
    <w:rsid w:val="0070520E"/>
    <w:rsid w:val="007070EA"/>
    <w:rsid w:val="007100C5"/>
    <w:rsid w:val="00710D6B"/>
    <w:rsid w:val="00713F49"/>
    <w:rsid w:val="007143A0"/>
    <w:rsid w:val="007204B0"/>
    <w:rsid w:val="00723172"/>
    <w:rsid w:val="007233C9"/>
    <w:rsid w:val="00724481"/>
    <w:rsid w:val="00724565"/>
    <w:rsid w:val="00724E05"/>
    <w:rsid w:val="00725649"/>
    <w:rsid w:val="007270BC"/>
    <w:rsid w:val="00731479"/>
    <w:rsid w:val="0073177C"/>
    <w:rsid w:val="007346D0"/>
    <w:rsid w:val="00735D7C"/>
    <w:rsid w:val="00736237"/>
    <w:rsid w:val="0073685A"/>
    <w:rsid w:val="00736A07"/>
    <w:rsid w:val="007378DB"/>
    <w:rsid w:val="00740780"/>
    <w:rsid w:val="0074129E"/>
    <w:rsid w:val="0074354B"/>
    <w:rsid w:val="0074634E"/>
    <w:rsid w:val="00751439"/>
    <w:rsid w:val="00751B9C"/>
    <w:rsid w:val="0075372A"/>
    <w:rsid w:val="00754373"/>
    <w:rsid w:val="00754E18"/>
    <w:rsid w:val="00760CB7"/>
    <w:rsid w:val="007617DF"/>
    <w:rsid w:val="00763947"/>
    <w:rsid w:val="00763BA9"/>
    <w:rsid w:val="00763CAD"/>
    <w:rsid w:val="00764077"/>
    <w:rsid w:val="007647D0"/>
    <w:rsid w:val="0076522F"/>
    <w:rsid w:val="007654A5"/>
    <w:rsid w:val="00765F57"/>
    <w:rsid w:val="007672F3"/>
    <w:rsid w:val="007705D2"/>
    <w:rsid w:val="0077081A"/>
    <w:rsid w:val="007718AA"/>
    <w:rsid w:val="00772A28"/>
    <w:rsid w:val="00775BD5"/>
    <w:rsid w:val="007762A2"/>
    <w:rsid w:val="00777117"/>
    <w:rsid w:val="0077758A"/>
    <w:rsid w:val="00777925"/>
    <w:rsid w:val="00777CEF"/>
    <w:rsid w:val="00781C8D"/>
    <w:rsid w:val="007822C1"/>
    <w:rsid w:val="00783421"/>
    <w:rsid w:val="007838CD"/>
    <w:rsid w:val="00784550"/>
    <w:rsid w:val="00786534"/>
    <w:rsid w:val="007867A2"/>
    <w:rsid w:val="00787104"/>
    <w:rsid w:val="00787C77"/>
    <w:rsid w:val="00787F20"/>
    <w:rsid w:val="00790217"/>
    <w:rsid w:val="00791A4F"/>
    <w:rsid w:val="007923B9"/>
    <w:rsid w:val="00792560"/>
    <w:rsid w:val="00793C5C"/>
    <w:rsid w:val="00793E6F"/>
    <w:rsid w:val="00794253"/>
    <w:rsid w:val="0079509B"/>
    <w:rsid w:val="00795B9B"/>
    <w:rsid w:val="00797A96"/>
    <w:rsid w:val="00797EA4"/>
    <w:rsid w:val="007A06BD"/>
    <w:rsid w:val="007A1700"/>
    <w:rsid w:val="007A3170"/>
    <w:rsid w:val="007A4481"/>
    <w:rsid w:val="007A44DE"/>
    <w:rsid w:val="007A4907"/>
    <w:rsid w:val="007A5E66"/>
    <w:rsid w:val="007B07E8"/>
    <w:rsid w:val="007B0E64"/>
    <w:rsid w:val="007B1CF2"/>
    <w:rsid w:val="007B1D4E"/>
    <w:rsid w:val="007C1D72"/>
    <w:rsid w:val="007C2859"/>
    <w:rsid w:val="007C2864"/>
    <w:rsid w:val="007C3EE2"/>
    <w:rsid w:val="007C49FE"/>
    <w:rsid w:val="007C53E4"/>
    <w:rsid w:val="007C54D4"/>
    <w:rsid w:val="007C559B"/>
    <w:rsid w:val="007C7C46"/>
    <w:rsid w:val="007C7FE4"/>
    <w:rsid w:val="007D22AA"/>
    <w:rsid w:val="007D2859"/>
    <w:rsid w:val="007D2A23"/>
    <w:rsid w:val="007D30CF"/>
    <w:rsid w:val="007D40F8"/>
    <w:rsid w:val="007D73C7"/>
    <w:rsid w:val="007D7C88"/>
    <w:rsid w:val="007E1DC9"/>
    <w:rsid w:val="007E4271"/>
    <w:rsid w:val="007E6052"/>
    <w:rsid w:val="007E60EF"/>
    <w:rsid w:val="007E64C4"/>
    <w:rsid w:val="007E6DDF"/>
    <w:rsid w:val="007E702A"/>
    <w:rsid w:val="007F22CC"/>
    <w:rsid w:val="007F247E"/>
    <w:rsid w:val="007F3087"/>
    <w:rsid w:val="007F3A0D"/>
    <w:rsid w:val="007F46B4"/>
    <w:rsid w:val="007F62BA"/>
    <w:rsid w:val="007F6A6A"/>
    <w:rsid w:val="007F7CD9"/>
    <w:rsid w:val="00801460"/>
    <w:rsid w:val="00802752"/>
    <w:rsid w:val="00802ED2"/>
    <w:rsid w:val="00803553"/>
    <w:rsid w:val="0080412B"/>
    <w:rsid w:val="00805851"/>
    <w:rsid w:val="00811DF0"/>
    <w:rsid w:val="00812273"/>
    <w:rsid w:val="00812B32"/>
    <w:rsid w:val="00813B1C"/>
    <w:rsid w:val="0081522E"/>
    <w:rsid w:val="00822BD8"/>
    <w:rsid w:val="0082475D"/>
    <w:rsid w:val="00824ACA"/>
    <w:rsid w:val="00825016"/>
    <w:rsid w:val="00830A8B"/>
    <w:rsid w:val="00830BB4"/>
    <w:rsid w:val="00830ECA"/>
    <w:rsid w:val="00833126"/>
    <w:rsid w:val="0083379A"/>
    <w:rsid w:val="00833A08"/>
    <w:rsid w:val="00833C11"/>
    <w:rsid w:val="00833EEE"/>
    <w:rsid w:val="008377B3"/>
    <w:rsid w:val="00837E22"/>
    <w:rsid w:val="008413F3"/>
    <w:rsid w:val="00841730"/>
    <w:rsid w:val="00841A4A"/>
    <w:rsid w:val="00845568"/>
    <w:rsid w:val="008455A9"/>
    <w:rsid w:val="00845742"/>
    <w:rsid w:val="00845D7C"/>
    <w:rsid w:val="0084750F"/>
    <w:rsid w:val="00850118"/>
    <w:rsid w:val="00851055"/>
    <w:rsid w:val="00851796"/>
    <w:rsid w:val="00852401"/>
    <w:rsid w:val="00852EE4"/>
    <w:rsid w:val="00853115"/>
    <w:rsid w:val="00853133"/>
    <w:rsid w:val="008531DB"/>
    <w:rsid w:val="00853ACD"/>
    <w:rsid w:val="00855CD8"/>
    <w:rsid w:val="00860707"/>
    <w:rsid w:val="00860C2A"/>
    <w:rsid w:val="00860F46"/>
    <w:rsid w:val="00862A53"/>
    <w:rsid w:val="00863FF0"/>
    <w:rsid w:val="008641F5"/>
    <w:rsid w:val="00865459"/>
    <w:rsid w:val="008656EB"/>
    <w:rsid w:val="00865751"/>
    <w:rsid w:val="00866E9B"/>
    <w:rsid w:val="008673EE"/>
    <w:rsid w:val="008720C3"/>
    <w:rsid w:val="008743FA"/>
    <w:rsid w:val="008762FF"/>
    <w:rsid w:val="008809D8"/>
    <w:rsid w:val="00881A9A"/>
    <w:rsid w:val="00884D4D"/>
    <w:rsid w:val="00885B7C"/>
    <w:rsid w:val="0088695C"/>
    <w:rsid w:val="00886AE8"/>
    <w:rsid w:val="00890C6B"/>
    <w:rsid w:val="00891032"/>
    <w:rsid w:val="00891FED"/>
    <w:rsid w:val="008924B1"/>
    <w:rsid w:val="00894806"/>
    <w:rsid w:val="00894E11"/>
    <w:rsid w:val="008952CA"/>
    <w:rsid w:val="00895593"/>
    <w:rsid w:val="00896015"/>
    <w:rsid w:val="0089665C"/>
    <w:rsid w:val="00897EB1"/>
    <w:rsid w:val="008A0218"/>
    <w:rsid w:val="008A027A"/>
    <w:rsid w:val="008A212C"/>
    <w:rsid w:val="008A4743"/>
    <w:rsid w:val="008A4F06"/>
    <w:rsid w:val="008A6DA1"/>
    <w:rsid w:val="008A7D1F"/>
    <w:rsid w:val="008B0866"/>
    <w:rsid w:val="008B1427"/>
    <w:rsid w:val="008B2093"/>
    <w:rsid w:val="008B2603"/>
    <w:rsid w:val="008B2632"/>
    <w:rsid w:val="008B4949"/>
    <w:rsid w:val="008B736A"/>
    <w:rsid w:val="008C0F97"/>
    <w:rsid w:val="008C1A45"/>
    <w:rsid w:val="008C3DD3"/>
    <w:rsid w:val="008C4E2D"/>
    <w:rsid w:val="008D0B1A"/>
    <w:rsid w:val="008D18C2"/>
    <w:rsid w:val="008D1B22"/>
    <w:rsid w:val="008D430B"/>
    <w:rsid w:val="008D751F"/>
    <w:rsid w:val="008D7A97"/>
    <w:rsid w:val="008E17B5"/>
    <w:rsid w:val="008E2A4D"/>
    <w:rsid w:val="008E30D5"/>
    <w:rsid w:val="008E3AA0"/>
    <w:rsid w:val="008F09FE"/>
    <w:rsid w:val="008F1806"/>
    <w:rsid w:val="008F31C8"/>
    <w:rsid w:val="008F31FE"/>
    <w:rsid w:val="008F3B5E"/>
    <w:rsid w:val="008F45FC"/>
    <w:rsid w:val="008F5827"/>
    <w:rsid w:val="008F5CFD"/>
    <w:rsid w:val="008F6CC0"/>
    <w:rsid w:val="008F7D22"/>
    <w:rsid w:val="009016A1"/>
    <w:rsid w:val="00902271"/>
    <w:rsid w:val="0090301B"/>
    <w:rsid w:val="00903233"/>
    <w:rsid w:val="00903BD0"/>
    <w:rsid w:val="00903E66"/>
    <w:rsid w:val="0090462C"/>
    <w:rsid w:val="00904A5E"/>
    <w:rsid w:val="0090573C"/>
    <w:rsid w:val="00910FFA"/>
    <w:rsid w:val="00913B28"/>
    <w:rsid w:val="009153F4"/>
    <w:rsid w:val="009158AE"/>
    <w:rsid w:val="00915C0E"/>
    <w:rsid w:val="0092010F"/>
    <w:rsid w:val="00920F52"/>
    <w:rsid w:val="00921061"/>
    <w:rsid w:val="00922433"/>
    <w:rsid w:val="00924810"/>
    <w:rsid w:val="00924E6C"/>
    <w:rsid w:val="009277A0"/>
    <w:rsid w:val="00931E68"/>
    <w:rsid w:val="009322B5"/>
    <w:rsid w:val="009344DA"/>
    <w:rsid w:val="009356EC"/>
    <w:rsid w:val="00935C27"/>
    <w:rsid w:val="00937623"/>
    <w:rsid w:val="00940C13"/>
    <w:rsid w:val="00943735"/>
    <w:rsid w:val="00943A2B"/>
    <w:rsid w:val="00945E24"/>
    <w:rsid w:val="00947B87"/>
    <w:rsid w:val="00953E84"/>
    <w:rsid w:val="00953F29"/>
    <w:rsid w:val="00954A23"/>
    <w:rsid w:val="0096302A"/>
    <w:rsid w:val="009635DD"/>
    <w:rsid w:val="00963D69"/>
    <w:rsid w:val="00964C10"/>
    <w:rsid w:val="00965DA6"/>
    <w:rsid w:val="00966D52"/>
    <w:rsid w:val="00970EC8"/>
    <w:rsid w:val="0097322F"/>
    <w:rsid w:val="00973787"/>
    <w:rsid w:val="009753EF"/>
    <w:rsid w:val="0097616F"/>
    <w:rsid w:val="0098005A"/>
    <w:rsid w:val="00980343"/>
    <w:rsid w:val="0098078D"/>
    <w:rsid w:val="00982F47"/>
    <w:rsid w:val="009850B5"/>
    <w:rsid w:val="00985D4A"/>
    <w:rsid w:val="00986672"/>
    <w:rsid w:val="00987289"/>
    <w:rsid w:val="0099298B"/>
    <w:rsid w:val="00994F07"/>
    <w:rsid w:val="009A0DD6"/>
    <w:rsid w:val="009A21FD"/>
    <w:rsid w:val="009A279F"/>
    <w:rsid w:val="009A2C08"/>
    <w:rsid w:val="009A4A03"/>
    <w:rsid w:val="009A6449"/>
    <w:rsid w:val="009A6E87"/>
    <w:rsid w:val="009B2754"/>
    <w:rsid w:val="009B2952"/>
    <w:rsid w:val="009B2F56"/>
    <w:rsid w:val="009B6246"/>
    <w:rsid w:val="009C03C1"/>
    <w:rsid w:val="009C0BCC"/>
    <w:rsid w:val="009C149A"/>
    <w:rsid w:val="009C2784"/>
    <w:rsid w:val="009C4799"/>
    <w:rsid w:val="009C4DB0"/>
    <w:rsid w:val="009C4DB3"/>
    <w:rsid w:val="009C525E"/>
    <w:rsid w:val="009C6163"/>
    <w:rsid w:val="009C63FA"/>
    <w:rsid w:val="009C6E01"/>
    <w:rsid w:val="009C780A"/>
    <w:rsid w:val="009D11F6"/>
    <w:rsid w:val="009D2329"/>
    <w:rsid w:val="009D5237"/>
    <w:rsid w:val="009D5C11"/>
    <w:rsid w:val="009D7BB8"/>
    <w:rsid w:val="009E0436"/>
    <w:rsid w:val="009E05B2"/>
    <w:rsid w:val="009E190E"/>
    <w:rsid w:val="009E33FC"/>
    <w:rsid w:val="009E3EAC"/>
    <w:rsid w:val="009E594A"/>
    <w:rsid w:val="009E5B70"/>
    <w:rsid w:val="009E5E82"/>
    <w:rsid w:val="009E7BB2"/>
    <w:rsid w:val="009F0835"/>
    <w:rsid w:val="009F21D2"/>
    <w:rsid w:val="009F4365"/>
    <w:rsid w:val="009F5291"/>
    <w:rsid w:val="009F65C6"/>
    <w:rsid w:val="00A01BB1"/>
    <w:rsid w:val="00A04F4B"/>
    <w:rsid w:val="00A05AE2"/>
    <w:rsid w:val="00A05B08"/>
    <w:rsid w:val="00A07615"/>
    <w:rsid w:val="00A13EF9"/>
    <w:rsid w:val="00A1796C"/>
    <w:rsid w:val="00A230B6"/>
    <w:rsid w:val="00A24C76"/>
    <w:rsid w:val="00A24CFB"/>
    <w:rsid w:val="00A25829"/>
    <w:rsid w:val="00A27321"/>
    <w:rsid w:val="00A311E9"/>
    <w:rsid w:val="00A31EE9"/>
    <w:rsid w:val="00A32D57"/>
    <w:rsid w:val="00A33705"/>
    <w:rsid w:val="00A34AA8"/>
    <w:rsid w:val="00A34F8A"/>
    <w:rsid w:val="00A36AA0"/>
    <w:rsid w:val="00A36FA7"/>
    <w:rsid w:val="00A37022"/>
    <w:rsid w:val="00A378D1"/>
    <w:rsid w:val="00A41A1A"/>
    <w:rsid w:val="00A43297"/>
    <w:rsid w:val="00A46246"/>
    <w:rsid w:val="00A46313"/>
    <w:rsid w:val="00A4677C"/>
    <w:rsid w:val="00A46D99"/>
    <w:rsid w:val="00A5182D"/>
    <w:rsid w:val="00A51B74"/>
    <w:rsid w:val="00A5201A"/>
    <w:rsid w:val="00A52628"/>
    <w:rsid w:val="00A542B1"/>
    <w:rsid w:val="00A56E53"/>
    <w:rsid w:val="00A572B6"/>
    <w:rsid w:val="00A5752A"/>
    <w:rsid w:val="00A57B2F"/>
    <w:rsid w:val="00A57BF5"/>
    <w:rsid w:val="00A60502"/>
    <w:rsid w:val="00A625B8"/>
    <w:rsid w:val="00A628AD"/>
    <w:rsid w:val="00A63992"/>
    <w:rsid w:val="00A63EF2"/>
    <w:rsid w:val="00A66B77"/>
    <w:rsid w:val="00A66E29"/>
    <w:rsid w:val="00A67CE3"/>
    <w:rsid w:val="00A67D82"/>
    <w:rsid w:val="00A67F72"/>
    <w:rsid w:val="00A702BE"/>
    <w:rsid w:val="00A703F6"/>
    <w:rsid w:val="00A70802"/>
    <w:rsid w:val="00A70B7C"/>
    <w:rsid w:val="00A71C09"/>
    <w:rsid w:val="00A73DCA"/>
    <w:rsid w:val="00A73E11"/>
    <w:rsid w:val="00A74B4A"/>
    <w:rsid w:val="00A74D67"/>
    <w:rsid w:val="00A805B4"/>
    <w:rsid w:val="00A82C8B"/>
    <w:rsid w:val="00A83331"/>
    <w:rsid w:val="00A84EE8"/>
    <w:rsid w:val="00A86F3A"/>
    <w:rsid w:val="00A8703B"/>
    <w:rsid w:val="00A87449"/>
    <w:rsid w:val="00A911D6"/>
    <w:rsid w:val="00A91C32"/>
    <w:rsid w:val="00A95884"/>
    <w:rsid w:val="00A95D95"/>
    <w:rsid w:val="00A96063"/>
    <w:rsid w:val="00A96409"/>
    <w:rsid w:val="00A9663A"/>
    <w:rsid w:val="00A976A7"/>
    <w:rsid w:val="00A97740"/>
    <w:rsid w:val="00AA0283"/>
    <w:rsid w:val="00AA2301"/>
    <w:rsid w:val="00AA4398"/>
    <w:rsid w:val="00AA6EE0"/>
    <w:rsid w:val="00AB3A5E"/>
    <w:rsid w:val="00AB5267"/>
    <w:rsid w:val="00AB53DA"/>
    <w:rsid w:val="00AB62AA"/>
    <w:rsid w:val="00AB6EE0"/>
    <w:rsid w:val="00AB77C6"/>
    <w:rsid w:val="00AC0B50"/>
    <w:rsid w:val="00AC1334"/>
    <w:rsid w:val="00AC285A"/>
    <w:rsid w:val="00AC326D"/>
    <w:rsid w:val="00AC3F40"/>
    <w:rsid w:val="00AC4AF3"/>
    <w:rsid w:val="00AC4CC7"/>
    <w:rsid w:val="00AC6DA3"/>
    <w:rsid w:val="00AD086F"/>
    <w:rsid w:val="00AD205E"/>
    <w:rsid w:val="00AD3FDB"/>
    <w:rsid w:val="00AD4E8F"/>
    <w:rsid w:val="00AD593D"/>
    <w:rsid w:val="00AD59E8"/>
    <w:rsid w:val="00AD5E78"/>
    <w:rsid w:val="00AD6891"/>
    <w:rsid w:val="00AE0168"/>
    <w:rsid w:val="00AE3C26"/>
    <w:rsid w:val="00AE3FEF"/>
    <w:rsid w:val="00AE41AD"/>
    <w:rsid w:val="00AE476F"/>
    <w:rsid w:val="00AE561E"/>
    <w:rsid w:val="00AF039F"/>
    <w:rsid w:val="00AF1E80"/>
    <w:rsid w:val="00AF30AB"/>
    <w:rsid w:val="00AF58F5"/>
    <w:rsid w:val="00AF607B"/>
    <w:rsid w:val="00AF61BA"/>
    <w:rsid w:val="00B031E2"/>
    <w:rsid w:val="00B03B14"/>
    <w:rsid w:val="00B04C5A"/>
    <w:rsid w:val="00B0545D"/>
    <w:rsid w:val="00B0620A"/>
    <w:rsid w:val="00B06EAB"/>
    <w:rsid w:val="00B07638"/>
    <w:rsid w:val="00B07EC5"/>
    <w:rsid w:val="00B10236"/>
    <w:rsid w:val="00B12076"/>
    <w:rsid w:val="00B1254D"/>
    <w:rsid w:val="00B125D1"/>
    <w:rsid w:val="00B144BE"/>
    <w:rsid w:val="00B14AEA"/>
    <w:rsid w:val="00B14EA3"/>
    <w:rsid w:val="00B15042"/>
    <w:rsid w:val="00B16627"/>
    <w:rsid w:val="00B1700F"/>
    <w:rsid w:val="00B20F4F"/>
    <w:rsid w:val="00B21D44"/>
    <w:rsid w:val="00B21D70"/>
    <w:rsid w:val="00B2208D"/>
    <w:rsid w:val="00B22531"/>
    <w:rsid w:val="00B24142"/>
    <w:rsid w:val="00B24362"/>
    <w:rsid w:val="00B25C89"/>
    <w:rsid w:val="00B303C8"/>
    <w:rsid w:val="00B30D32"/>
    <w:rsid w:val="00B31FB7"/>
    <w:rsid w:val="00B32CCC"/>
    <w:rsid w:val="00B335C6"/>
    <w:rsid w:val="00B33966"/>
    <w:rsid w:val="00B37650"/>
    <w:rsid w:val="00B410FF"/>
    <w:rsid w:val="00B42C7B"/>
    <w:rsid w:val="00B42E19"/>
    <w:rsid w:val="00B432F0"/>
    <w:rsid w:val="00B43397"/>
    <w:rsid w:val="00B446C1"/>
    <w:rsid w:val="00B45E50"/>
    <w:rsid w:val="00B472F8"/>
    <w:rsid w:val="00B47B1E"/>
    <w:rsid w:val="00B520B3"/>
    <w:rsid w:val="00B54982"/>
    <w:rsid w:val="00B54F3B"/>
    <w:rsid w:val="00B56611"/>
    <w:rsid w:val="00B57262"/>
    <w:rsid w:val="00B62232"/>
    <w:rsid w:val="00B6486B"/>
    <w:rsid w:val="00B64FBA"/>
    <w:rsid w:val="00B6580E"/>
    <w:rsid w:val="00B70EFB"/>
    <w:rsid w:val="00B73703"/>
    <w:rsid w:val="00B73CFC"/>
    <w:rsid w:val="00B7442F"/>
    <w:rsid w:val="00B76118"/>
    <w:rsid w:val="00B76229"/>
    <w:rsid w:val="00B8108D"/>
    <w:rsid w:val="00B8230F"/>
    <w:rsid w:val="00B846BF"/>
    <w:rsid w:val="00B847CC"/>
    <w:rsid w:val="00B85D40"/>
    <w:rsid w:val="00B9077F"/>
    <w:rsid w:val="00B92A89"/>
    <w:rsid w:val="00B9432E"/>
    <w:rsid w:val="00B9543A"/>
    <w:rsid w:val="00B95B74"/>
    <w:rsid w:val="00B96C9B"/>
    <w:rsid w:val="00B97CCC"/>
    <w:rsid w:val="00BA1E1B"/>
    <w:rsid w:val="00BA35C3"/>
    <w:rsid w:val="00BA4D7B"/>
    <w:rsid w:val="00BA6180"/>
    <w:rsid w:val="00BA6ACF"/>
    <w:rsid w:val="00BA76DB"/>
    <w:rsid w:val="00BB0C1B"/>
    <w:rsid w:val="00BB136A"/>
    <w:rsid w:val="00BB1AF9"/>
    <w:rsid w:val="00BB3213"/>
    <w:rsid w:val="00BB3587"/>
    <w:rsid w:val="00BB429F"/>
    <w:rsid w:val="00BB7F64"/>
    <w:rsid w:val="00BC051C"/>
    <w:rsid w:val="00BC0865"/>
    <w:rsid w:val="00BC0C0F"/>
    <w:rsid w:val="00BC10DA"/>
    <w:rsid w:val="00BC1C1B"/>
    <w:rsid w:val="00BC3965"/>
    <w:rsid w:val="00BC443E"/>
    <w:rsid w:val="00BC4AD7"/>
    <w:rsid w:val="00BC5D4E"/>
    <w:rsid w:val="00BC632C"/>
    <w:rsid w:val="00BC6B66"/>
    <w:rsid w:val="00BC7199"/>
    <w:rsid w:val="00BD36C8"/>
    <w:rsid w:val="00BD376A"/>
    <w:rsid w:val="00BD3983"/>
    <w:rsid w:val="00BD3D50"/>
    <w:rsid w:val="00BD5B44"/>
    <w:rsid w:val="00BD79EB"/>
    <w:rsid w:val="00BE0488"/>
    <w:rsid w:val="00BE0B33"/>
    <w:rsid w:val="00BE2CCA"/>
    <w:rsid w:val="00BE39F4"/>
    <w:rsid w:val="00BE68BE"/>
    <w:rsid w:val="00BF04FF"/>
    <w:rsid w:val="00BF10CB"/>
    <w:rsid w:val="00BF214B"/>
    <w:rsid w:val="00BF3CE7"/>
    <w:rsid w:val="00BF41E9"/>
    <w:rsid w:val="00BF4BE7"/>
    <w:rsid w:val="00BF5F70"/>
    <w:rsid w:val="00BF6BAA"/>
    <w:rsid w:val="00BF7262"/>
    <w:rsid w:val="00C001D4"/>
    <w:rsid w:val="00C00CF6"/>
    <w:rsid w:val="00C00EB0"/>
    <w:rsid w:val="00C04F94"/>
    <w:rsid w:val="00C0636D"/>
    <w:rsid w:val="00C06B50"/>
    <w:rsid w:val="00C14421"/>
    <w:rsid w:val="00C15E74"/>
    <w:rsid w:val="00C15EAF"/>
    <w:rsid w:val="00C162FA"/>
    <w:rsid w:val="00C177DE"/>
    <w:rsid w:val="00C20AA1"/>
    <w:rsid w:val="00C21D8F"/>
    <w:rsid w:val="00C23378"/>
    <w:rsid w:val="00C24081"/>
    <w:rsid w:val="00C24716"/>
    <w:rsid w:val="00C2479C"/>
    <w:rsid w:val="00C256E6"/>
    <w:rsid w:val="00C26109"/>
    <w:rsid w:val="00C31379"/>
    <w:rsid w:val="00C31F15"/>
    <w:rsid w:val="00C331EB"/>
    <w:rsid w:val="00C34FDC"/>
    <w:rsid w:val="00C36F50"/>
    <w:rsid w:val="00C40B0D"/>
    <w:rsid w:val="00C4147D"/>
    <w:rsid w:val="00C4252A"/>
    <w:rsid w:val="00C42D2F"/>
    <w:rsid w:val="00C450DD"/>
    <w:rsid w:val="00C45DEB"/>
    <w:rsid w:val="00C46379"/>
    <w:rsid w:val="00C52392"/>
    <w:rsid w:val="00C57495"/>
    <w:rsid w:val="00C57FF0"/>
    <w:rsid w:val="00C603B5"/>
    <w:rsid w:val="00C61473"/>
    <w:rsid w:val="00C62BE9"/>
    <w:rsid w:val="00C636F4"/>
    <w:rsid w:val="00C655BC"/>
    <w:rsid w:val="00C67575"/>
    <w:rsid w:val="00C67635"/>
    <w:rsid w:val="00C67ED0"/>
    <w:rsid w:val="00C7118C"/>
    <w:rsid w:val="00C72FCA"/>
    <w:rsid w:val="00C75918"/>
    <w:rsid w:val="00C76865"/>
    <w:rsid w:val="00C806B5"/>
    <w:rsid w:val="00C80922"/>
    <w:rsid w:val="00C83DC1"/>
    <w:rsid w:val="00C85450"/>
    <w:rsid w:val="00C85888"/>
    <w:rsid w:val="00C85F53"/>
    <w:rsid w:val="00C8636C"/>
    <w:rsid w:val="00C90592"/>
    <w:rsid w:val="00C9089E"/>
    <w:rsid w:val="00C90AF1"/>
    <w:rsid w:val="00C90F8E"/>
    <w:rsid w:val="00C917E4"/>
    <w:rsid w:val="00C920EB"/>
    <w:rsid w:val="00C92F31"/>
    <w:rsid w:val="00C9339A"/>
    <w:rsid w:val="00C9358D"/>
    <w:rsid w:val="00C94A26"/>
    <w:rsid w:val="00C94CCF"/>
    <w:rsid w:val="00C96004"/>
    <w:rsid w:val="00C966AA"/>
    <w:rsid w:val="00C96E55"/>
    <w:rsid w:val="00CA03AA"/>
    <w:rsid w:val="00CA16CC"/>
    <w:rsid w:val="00CA239D"/>
    <w:rsid w:val="00CA24FF"/>
    <w:rsid w:val="00CA6ADF"/>
    <w:rsid w:val="00CA6BA2"/>
    <w:rsid w:val="00CB02EA"/>
    <w:rsid w:val="00CB0647"/>
    <w:rsid w:val="00CB09CD"/>
    <w:rsid w:val="00CB2892"/>
    <w:rsid w:val="00CB588C"/>
    <w:rsid w:val="00CB5D16"/>
    <w:rsid w:val="00CB5FD3"/>
    <w:rsid w:val="00CB61B0"/>
    <w:rsid w:val="00CC2076"/>
    <w:rsid w:val="00CC226D"/>
    <w:rsid w:val="00CC3A3A"/>
    <w:rsid w:val="00CC57E6"/>
    <w:rsid w:val="00CD18C3"/>
    <w:rsid w:val="00CD516B"/>
    <w:rsid w:val="00CD7E96"/>
    <w:rsid w:val="00CE0410"/>
    <w:rsid w:val="00CE095A"/>
    <w:rsid w:val="00CE0E98"/>
    <w:rsid w:val="00CE1861"/>
    <w:rsid w:val="00CE1885"/>
    <w:rsid w:val="00CE3FDF"/>
    <w:rsid w:val="00CE4587"/>
    <w:rsid w:val="00CE76A9"/>
    <w:rsid w:val="00CF19F7"/>
    <w:rsid w:val="00CF21AB"/>
    <w:rsid w:val="00CF29E4"/>
    <w:rsid w:val="00CF2DA0"/>
    <w:rsid w:val="00CF7A26"/>
    <w:rsid w:val="00D00699"/>
    <w:rsid w:val="00D00820"/>
    <w:rsid w:val="00D011DE"/>
    <w:rsid w:val="00D02ECE"/>
    <w:rsid w:val="00D03E47"/>
    <w:rsid w:val="00D1085E"/>
    <w:rsid w:val="00D10882"/>
    <w:rsid w:val="00D12362"/>
    <w:rsid w:val="00D16A33"/>
    <w:rsid w:val="00D17D6E"/>
    <w:rsid w:val="00D22BBF"/>
    <w:rsid w:val="00D23E6E"/>
    <w:rsid w:val="00D24637"/>
    <w:rsid w:val="00D25663"/>
    <w:rsid w:val="00D2655F"/>
    <w:rsid w:val="00D27129"/>
    <w:rsid w:val="00D273DB"/>
    <w:rsid w:val="00D30291"/>
    <w:rsid w:val="00D322F2"/>
    <w:rsid w:val="00D3308E"/>
    <w:rsid w:val="00D334D2"/>
    <w:rsid w:val="00D3394F"/>
    <w:rsid w:val="00D34082"/>
    <w:rsid w:val="00D35183"/>
    <w:rsid w:val="00D35E65"/>
    <w:rsid w:val="00D378CA"/>
    <w:rsid w:val="00D41020"/>
    <w:rsid w:val="00D412C7"/>
    <w:rsid w:val="00D420D1"/>
    <w:rsid w:val="00D44042"/>
    <w:rsid w:val="00D44C96"/>
    <w:rsid w:val="00D45679"/>
    <w:rsid w:val="00D47113"/>
    <w:rsid w:val="00D511F7"/>
    <w:rsid w:val="00D519F9"/>
    <w:rsid w:val="00D51A2A"/>
    <w:rsid w:val="00D57F2C"/>
    <w:rsid w:val="00D6322C"/>
    <w:rsid w:val="00D66A36"/>
    <w:rsid w:val="00D66AE8"/>
    <w:rsid w:val="00D6734D"/>
    <w:rsid w:val="00D718BF"/>
    <w:rsid w:val="00D745B4"/>
    <w:rsid w:val="00D76FD2"/>
    <w:rsid w:val="00D779AB"/>
    <w:rsid w:val="00D808CF"/>
    <w:rsid w:val="00D82DDF"/>
    <w:rsid w:val="00D83077"/>
    <w:rsid w:val="00D848CF"/>
    <w:rsid w:val="00D85CBA"/>
    <w:rsid w:val="00D85EE0"/>
    <w:rsid w:val="00D90195"/>
    <w:rsid w:val="00D9094A"/>
    <w:rsid w:val="00D92213"/>
    <w:rsid w:val="00D93249"/>
    <w:rsid w:val="00D943B1"/>
    <w:rsid w:val="00D96439"/>
    <w:rsid w:val="00D9708B"/>
    <w:rsid w:val="00DA0A4B"/>
    <w:rsid w:val="00DA0E1A"/>
    <w:rsid w:val="00DA18E2"/>
    <w:rsid w:val="00DA21D0"/>
    <w:rsid w:val="00DA28B4"/>
    <w:rsid w:val="00DA45DC"/>
    <w:rsid w:val="00DA5980"/>
    <w:rsid w:val="00DA72F7"/>
    <w:rsid w:val="00DA7650"/>
    <w:rsid w:val="00DA76C8"/>
    <w:rsid w:val="00DA7CE6"/>
    <w:rsid w:val="00DB1F36"/>
    <w:rsid w:val="00DB30D7"/>
    <w:rsid w:val="00DB36C6"/>
    <w:rsid w:val="00DB46A8"/>
    <w:rsid w:val="00DB484A"/>
    <w:rsid w:val="00DB51FC"/>
    <w:rsid w:val="00DB5689"/>
    <w:rsid w:val="00DB7C1B"/>
    <w:rsid w:val="00DB7DFD"/>
    <w:rsid w:val="00DB7E5B"/>
    <w:rsid w:val="00DC02D5"/>
    <w:rsid w:val="00DC0873"/>
    <w:rsid w:val="00DC37B7"/>
    <w:rsid w:val="00DC3A21"/>
    <w:rsid w:val="00DC5F35"/>
    <w:rsid w:val="00DC69D4"/>
    <w:rsid w:val="00DC6E85"/>
    <w:rsid w:val="00DC77BA"/>
    <w:rsid w:val="00DD3396"/>
    <w:rsid w:val="00DD54BF"/>
    <w:rsid w:val="00DE38E1"/>
    <w:rsid w:val="00DE4966"/>
    <w:rsid w:val="00DF059E"/>
    <w:rsid w:val="00DF07AE"/>
    <w:rsid w:val="00DF0E92"/>
    <w:rsid w:val="00DF2C8C"/>
    <w:rsid w:val="00DF3319"/>
    <w:rsid w:val="00DF3489"/>
    <w:rsid w:val="00DF42A2"/>
    <w:rsid w:val="00DF5079"/>
    <w:rsid w:val="00DF6DAA"/>
    <w:rsid w:val="00E012FC"/>
    <w:rsid w:val="00E0206A"/>
    <w:rsid w:val="00E021D3"/>
    <w:rsid w:val="00E03D78"/>
    <w:rsid w:val="00E04507"/>
    <w:rsid w:val="00E046CB"/>
    <w:rsid w:val="00E06404"/>
    <w:rsid w:val="00E074F6"/>
    <w:rsid w:val="00E07F7F"/>
    <w:rsid w:val="00E11E8F"/>
    <w:rsid w:val="00E12F95"/>
    <w:rsid w:val="00E132D5"/>
    <w:rsid w:val="00E13741"/>
    <w:rsid w:val="00E144A4"/>
    <w:rsid w:val="00E15C96"/>
    <w:rsid w:val="00E15E0F"/>
    <w:rsid w:val="00E17B8F"/>
    <w:rsid w:val="00E20EBC"/>
    <w:rsid w:val="00E21DAD"/>
    <w:rsid w:val="00E2207A"/>
    <w:rsid w:val="00E22542"/>
    <w:rsid w:val="00E23831"/>
    <w:rsid w:val="00E241AC"/>
    <w:rsid w:val="00E25026"/>
    <w:rsid w:val="00E3202A"/>
    <w:rsid w:val="00E3436E"/>
    <w:rsid w:val="00E34B20"/>
    <w:rsid w:val="00E36A50"/>
    <w:rsid w:val="00E375AE"/>
    <w:rsid w:val="00E40143"/>
    <w:rsid w:val="00E40EFE"/>
    <w:rsid w:val="00E41FBB"/>
    <w:rsid w:val="00E421CD"/>
    <w:rsid w:val="00E45816"/>
    <w:rsid w:val="00E45A30"/>
    <w:rsid w:val="00E473D5"/>
    <w:rsid w:val="00E51567"/>
    <w:rsid w:val="00E53635"/>
    <w:rsid w:val="00E54C8C"/>
    <w:rsid w:val="00E564EB"/>
    <w:rsid w:val="00E56768"/>
    <w:rsid w:val="00E569FF"/>
    <w:rsid w:val="00E5732A"/>
    <w:rsid w:val="00E57A03"/>
    <w:rsid w:val="00E61CE2"/>
    <w:rsid w:val="00E61E2F"/>
    <w:rsid w:val="00E62350"/>
    <w:rsid w:val="00E629AE"/>
    <w:rsid w:val="00E65DCC"/>
    <w:rsid w:val="00E7256D"/>
    <w:rsid w:val="00E729CC"/>
    <w:rsid w:val="00E731D3"/>
    <w:rsid w:val="00E73993"/>
    <w:rsid w:val="00E747B4"/>
    <w:rsid w:val="00E75492"/>
    <w:rsid w:val="00E7565F"/>
    <w:rsid w:val="00E7637A"/>
    <w:rsid w:val="00E7661F"/>
    <w:rsid w:val="00E76F07"/>
    <w:rsid w:val="00E7715B"/>
    <w:rsid w:val="00E80583"/>
    <w:rsid w:val="00E82940"/>
    <w:rsid w:val="00E85ABA"/>
    <w:rsid w:val="00E868B6"/>
    <w:rsid w:val="00E87303"/>
    <w:rsid w:val="00E9037F"/>
    <w:rsid w:val="00E90FBC"/>
    <w:rsid w:val="00E92339"/>
    <w:rsid w:val="00E927DB"/>
    <w:rsid w:val="00E9566C"/>
    <w:rsid w:val="00E96273"/>
    <w:rsid w:val="00E9659A"/>
    <w:rsid w:val="00E967CF"/>
    <w:rsid w:val="00E9735C"/>
    <w:rsid w:val="00E9741C"/>
    <w:rsid w:val="00EA00BA"/>
    <w:rsid w:val="00EA022B"/>
    <w:rsid w:val="00EA052C"/>
    <w:rsid w:val="00EA0AEE"/>
    <w:rsid w:val="00EA1590"/>
    <w:rsid w:val="00EA2F09"/>
    <w:rsid w:val="00EA3011"/>
    <w:rsid w:val="00EA5105"/>
    <w:rsid w:val="00EA59E4"/>
    <w:rsid w:val="00EA5C6E"/>
    <w:rsid w:val="00EA6F5C"/>
    <w:rsid w:val="00EB1E3E"/>
    <w:rsid w:val="00EB2362"/>
    <w:rsid w:val="00EB3BBB"/>
    <w:rsid w:val="00EB4957"/>
    <w:rsid w:val="00EB4B4D"/>
    <w:rsid w:val="00EB4E9E"/>
    <w:rsid w:val="00EB6633"/>
    <w:rsid w:val="00EB6770"/>
    <w:rsid w:val="00EB7BEF"/>
    <w:rsid w:val="00EC002F"/>
    <w:rsid w:val="00EC2E50"/>
    <w:rsid w:val="00EC31C3"/>
    <w:rsid w:val="00EC4F11"/>
    <w:rsid w:val="00EC5CB1"/>
    <w:rsid w:val="00EC6FFA"/>
    <w:rsid w:val="00EC7B00"/>
    <w:rsid w:val="00EC7FD5"/>
    <w:rsid w:val="00ED353D"/>
    <w:rsid w:val="00ED5F6F"/>
    <w:rsid w:val="00EE1582"/>
    <w:rsid w:val="00EE25B4"/>
    <w:rsid w:val="00EE267F"/>
    <w:rsid w:val="00EE27BA"/>
    <w:rsid w:val="00EE2F08"/>
    <w:rsid w:val="00EE3849"/>
    <w:rsid w:val="00EE5411"/>
    <w:rsid w:val="00EE7FAD"/>
    <w:rsid w:val="00EF177D"/>
    <w:rsid w:val="00EF22AE"/>
    <w:rsid w:val="00EF2AA5"/>
    <w:rsid w:val="00EF2E2D"/>
    <w:rsid w:val="00EF4A0D"/>
    <w:rsid w:val="00EF5F01"/>
    <w:rsid w:val="00EF6BC7"/>
    <w:rsid w:val="00EF7584"/>
    <w:rsid w:val="00EF7AF4"/>
    <w:rsid w:val="00F00056"/>
    <w:rsid w:val="00F011CD"/>
    <w:rsid w:val="00F02F9C"/>
    <w:rsid w:val="00F03B76"/>
    <w:rsid w:val="00F065EB"/>
    <w:rsid w:val="00F06853"/>
    <w:rsid w:val="00F07F39"/>
    <w:rsid w:val="00F103DC"/>
    <w:rsid w:val="00F10FEC"/>
    <w:rsid w:val="00F12015"/>
    <w:rsid w:val="00F1222D"/>
    <w:rsid w:val="00F132A8"/>
    <w:rsid w:val="00F13A20"/>
    <w:rsid w:val="00F14685"/>
    <w:rsid w:val="00F151A2"/>
    <w:rsid w:val="00F15A91"/>
    <w:rsid w:val="00F17325"/>
    <w:rsid w:val="00F22A28"/>
    <w:rsid w:val="00F22B60"/>
    <w:rsid w:val="00F22D82"/>
    <w:rsid w:val="00F23CEE"/>
    <w:rsid w:val="00F25004"/>
    <w:rsid w:val="00F253B0"/>
    <w:rsid w:val="00F27043"/>
    <w:rsid w:val="00F27338"/>
    <w:rsid w:val="00F319EF"/>
    <w:rsid w:val="00F31D78"/>
    <w:rsid w:val="00F31F5C"/>
    <w:rsid w:val="00F33ED0"/>
    <w:rsid w:val="00F341A5"/>
    <w:rsid w:val="00F355DB"/>
    <w:rsid w:val="00F35DE1"/>
    <w:rsid w:val="00F364C4"/>
    <w:rsid w:val="00F36CEB"/>
    <w:rsid w:val="00F40DB9"/>
    <w:rsid w:val="00F422B9"/>
    <w:rsid w:val="00F456AB"/>
    <w:rsid w:val="00F467B1"/>
    <w:rsid w:val="00F46E32"/>
    <w:rsid w:val="00F47539"/>
    <w:rsid w:val="00F47EFA"/>
    <w:rsid w:val="00F47F3C"/>
    <w:rsid w:val="00F519B8"/>
    <w:rsid w:val="00F52B5B"/>
    <w:rsid w:val="00F543D1"/>
    <w:rsid w:val="00F57E0F"/>
    <w:rsid w:val="00F60BDC"/>
    <w:rsid w:val="00F6323C"/>
    <w:rsid w:val="00F63265"/>
    <w:rsid w:val="00F641EB"/>
    <w:rsid w:val="00F64D61"/>
    <w:rsid w:val="00F65666"/>
    <w:rsid w:val="00F657B3"/>
    <w:rsid w:val="00F663DF"/>
    <w:rsid w:val="00F67372"/>
    <w:rsid w:val="00F67D9C"/>
    <w:rsid w:val="00F715AA"/>
    <w:rsid w:val="00F72B60"/>
    <w:rsid w:val="00F74AF5"/>
    <w:rsid w:val="00F74D0F"/>
    <w:rsid w:val="00F74E5B"/>
    <w:rsid w:val="00F75686"/>
    <w:rsid w:val="00F75C5E"/>
    <w:rsid w:val="00F75DBB"/>
    <w:rsid w:val="00F766D5"/>
    <w:rsid w:val="00F76C44"/>
    <w:rsid w:val="00F77AAF"/>
    <w:rsid w:val="00F808DE"/>
    <w:rsid w:val="00F82CCD"/>
    <w:rsid w:val="00F83EF7"/>
    <w:rsid w:val="00F844E4"/>
    <w:rsid w:val="00F85CB6"/>
    <w:rsid w:val="00F8636D"/>
    <w:rsid w:val="00F86C7B"/>
    <w:rsid w:val="00F901A5"/>
    <w:rsid w:val="00F91004"/>
    <w:rsid w:val="00F9184D"/>
    <w:rsid w:val="00F918E4"/>
    <w:rsid w:val="00F92A94"/>
    <w:rsid w:val="00F93F61"/>
    <w:rsid w:val="00F95CBC"/>
    <w:rsid w:val="00F9670E"/>
    <w:rsid w:val="00F971F4"/>
    <w:rsid w:val="00F97547"/>
    <w:rsid w:val="00F978B0"/>
    <w:rsid w:val="00FA08CF"/>
    <w:rsid w:val="00FA4AF4"/>
    <w:rsid w:val="00FA6454"/>
    <w:rsid w:val="00FB221E"/>
    <w:rsid w:val="00FB4085"/>
    <w:rsid w:val="00FB43F0"/>
    <w:rsid w:val="00FB6EF5"/>
    <w:rsid w:val="00FC0F61"/>
    <w:rsid w:val="00FC143C"/>
    <w:rsid w:val="00FC1CAF"/>
    <w:rsid w:val="00FC3B25"/>
    <w:rsid w:val="00FC6C2C"/>
    <w:rsid w:val="00FD0C48"/>
    <w:rsid w:val="00FD0F8E"/>
    <w:rsid w:val="00FD1025"/>
    <w:rsid w:val="00FD5C2F"/>
    <w:rsid w:val="00FD7478"/>
    <w:rsid w:val="00FD7743"/>
    <w:rsid w:val="00FE146C"/>
    <w:rsid w:val="00FE1CD4"/>
    <w:rsid w:val="00FE2BC7"/>
    <w:rsid w:val="00FE44FE"/>
    <w:rsid w:val="00FE5301"/>
    <w:rsid w:val="00FE68E9"/>
    <w:rsid w:val="00FE69DF"/>
    <w:rsid w:val="00FE73EE"/>
    <w:rsid w:val="00FE7F84"/>
    <w:rsid w:val="00FF0DF3"/>
    <w:rsid w:val="00FF246B"/>
    <w:rsid w:val="00FF514F"/>
    <w:rsid w:val="00FF5530"/>
    <w:rsid w:val="00FF5AFF"/>
    <w:rsid w:val="00FF5FCC"/>
    <w:rsid w:val="00FF6A0A"/>
    <w:rsid w:val="00FF6B2A"/>
    <w:rsid w:val="00FF6F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8665B"/>
  <w15:chartTrackingRefBased/>
  <w15:docId w15:val="{7F3714B6-0E12-4C9C-9F8F-BCCF7606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27DB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120"/>
      <w:outlineLvl w:val="0"/>
    </w:pPr>
    <w:rPr>
      <w:rFonts w:cs="Arial"/>
      <w:b/>
      <w:bCs/>
      <w:smallCap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284"/>
      </w:tabs>
      <w:spacing w:before="120" w:after="120"/>
      <w:outlineLvl w:val="1"/>
    </w:pPr>
    <w:rPr>
      <w:b/>
      <w:smallCaps/>
      <w:spacing w:val="20"/>
      <w:sz w:val="28"/>
    </w:rPr>
  </w:style>
  <w:style w:type="paragraph" w:styleId="Nadpis3">
    <w:name w:val="heading 3"/>
    <w:basedOn w:val="Normln"/>
    <w:next w:val="Normln"/>
    <w:autoRedefine/>
    <w:qFormat/>
    <w:rsid w:val="00EA1590"/>
    <w:pPr>
      <w:keepNext/>
      <w:tabs>
        <w:tab w:val="left" w:pos="708"/>
      </w:tabs>
      <w:outlineLvl w:val="2"/>
    </w:pPr>
    <w:rPr>
      <w:rFonts w:cs="Arial"/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rFonts w:cs="Arial"/>
      <w:b/>
      <w:bCs/>
      <w:spacing w:val="20"/>
      <w:sz w:val="3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b/>
      <w:caps/>
      <w:spacing w:val="30"/>
      <w:sz w:val="1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center"/>
    </w:pPr>
    <w:rPr>
      <w:b/>
      <w:bCs/>
      <w:sz w:val="26"/>
      <w:lang w:val="x-none" w:eastAsia="x-none"/>
    </w:rPr>
  </w:style>
  <w:style w:type="paragraph" w:styleId="Zkladntext2">
    <w:name w:val="Body Text 2"/>
    <w:basedOn w:val="Normln"/>
    <w:link w:val="Zkladntext2Char"/>
    <w:rPr>
      <w:lang w:val="x-none" w:eastAsia="x-none"/>
    </w:rPr>
  </w:style>
  <w:style w:type="paragraph" w:styleId="Zkladntext3">
    <w:name w:val="Body Text 3"/>
    <w:basedOn w:val="Normln"/>
    <w:pPr>
      <w:jc w:val="center"/>
    </w:pPr>
    <w:rPr>
      <w:rFonts w:cs="Arial"/>
      <w:b/>
      <w:bCs/>
      <w:sz w:val="30"/>
    </w:rPr>
  </w:style>
  <w:style w:type="paragraph" w:styleId="Obsah2">
    <w:name w:val="toc 2"/>
    <w:basedOn w:val="Normln"/>
    <w:next w:val="Normln"/>
    <w:autoRedefine/>
    <w:uiPriority w:val="39"/>
    <w:rsid w:val="000F1745"/>
    <w:pPr>
      <w:tabs>
        <w:tab w:val="left" w:pos="1134"/>
        <w:tab w:val="right" w:leader="dot" w:pos="9628"/>
      </w:tabs>
      <w:spacing w:line="480" w:lineRule="auto"/>
      <w:ind w:left="567"/>
      <w:jc w:val="left"/>
    </w:pPr>
    <w:rPr>
      <w:rFonts w:cs="Arial"/>
      <w:noProof/>
    </w:rPr>
  </w:style>
  <w:style w:type="paragraph" w:styleId="Obsah1">
    <w:name w:val="toc 1"/>
    <w:basedOn w:val="Normln"/>
    <w:next w:val="Normln"/>
    <w:autoRedefine/>
    <w:uiPriority w:val="39"/>
    <w:rsid w:val="00465383"/>
    <w:pPr>
      <w:tabs>
        <w:tab w:val="left" w:pos="480"/>
        <w:tab w:val="right" w:leader="dot" w:pos="9628"/>
      </w:tabs>
      <w:spacing w:line="480" w:lineRule="auto"/>
    </w:pPr>
    <w:rPr>
      <w:rFonts w:cs="Arial"/>
      <w:bCs/>
      <w:caps/>
      <w:noProof/>
      <w:sz w:val="28"/>
      <w:szCs w:val="28"/>
    </w:rPr>
  </w:style>
  <w:style w:type="paragraph" w:styleId="Titulek">
    <w:name w:val="caption"/>
    <w:basedOn w:val="Normln"/>
    <w:next w:val="Normln"/>
    <w:qFormat/>
    <w:pPr>
      <w:spacing w:before="120" w:after="120"/>
      <w:jc w:val="center"/>
    </w:pPr>
    <w:rPr>
      <w:b/>
      <w:bCs/>
      <w:spacing w:val="20"/>
      <w:sz w:val="32"/>
      <w:szCs w:val="20"/>
    </w:rPr>
  </w:style>
  <w:style w:type="paragraph" w:styleId="Obsah3">
    <w:name w:val="toc 3"/>
    <w:basedOn w:val="Normln"/>
    <w:next w:val="Normln"/>
    <w:autoRedefine/>
    <w:uiPriority w:val="39"/>
    <w:rsid w:val="000F1745"/>
    <w:pPr>
      <w:tabs>
        <w:tab w:val="left" w:pos="1620"/>
        <w:tab w:val="right" w:leader="dot" w:pos="9628"/>
      </w:tabs>
      <w:spacing w:line="480" w:lineRule="auto"/>
      <w:ind w:left="902"/>
      <w:jc w:val="left"/>
    </w:pPr>
    <w:rPr>
      <w:rFonts w:cs="Arial"/>
      <w:noProof/>
    </w:rPr>
  </w:style>
  <w:style w:type="paragraph" w:styleId="Obsah4">
    <w:name w:val="toc 4"/>
    <w:basedOn w:val="Normln"/>
    <w:next w:val="Normln"/>
    <w:autoRedefine/>
    <w:semiHidden/>
    <w:pPr>
      <w:ind w:left="480"/>
      <w:jc w:val="left"/>
    </w:pPr>
    <w:rPr>
      <w:rFonts w:ascii="Times New Roman" w:hAnsi="Times New Roman"/>
    </w:rPr>
  </w:style>
  <w:style w:type="paragraph" w:styleId="Obsah5">
    <w:name w:val="toc 5"/>
    <w:basedOn w:val="Normln"/>
    <w:next w:val="Normln"/>
    <w:autoRedefine/>
    <w:semiHidden/>
    <w:pPr>
      <w:ind w:left="720"/>
      <w:jc w:val="left"/>
    </w:pPr>
    <w:rPr>
      <w:rFonts w:ascii="Times New Roman" w:hAnsi="Times New Roman"/>
    </w:rPr>
  </w:style>
  <w:style w:type="paragraph" w:styleId="Obsah6">
    <w:name w:val="toc 6"/>
    <w:basedOn w:val="Normln"/>
    <w:next w:val="Normln"/>
    <w:autoRedefine/>
    <w:semiHidden/>
    <w:pPr>
      <w:ind w:left="960"/>
      <w:jc w:val="left"/>
    </w:pPr>
    <w:rPr>
      <w:rFonts w:ascii="Times New Roman" w:hAnsi="Times New Roman"/>
    </w:rPr>
  </w:style>
  <w:style w:type="paragraph" w:styleId="Obsah7">
    <w:name w:val="toc 7"/>
    <w:basedOn w:val="Normln"/>
    <w:next w:val="Normln"/>
    <w:autoRedefine/>
    <w:semiHidden/>
    <w:pPr>
      <w:ind w:left="1200"/>
      <w:jc w:val="left"/>
    </w:pPr>
    <w:rPr>
      <w:rFonts w:ascii="Times New Roman" w:hAnsi="Times New Roman"/>
    </w:rPr>
  </w:style>
  <w:style w:type="paragraph" w:styleId="Obsah8">
    <w:name w:val="toc 8"/>
    <w:basedOn w:val="Normln"/>
    <w:next w:val="Normln"/>
    <w:autoRedefine/>
    <w:semiHidden/>
    <w:pPr>
      <w:ind w:left="1440"/>
      <w:jc w:val="left"/>
    </w:pPr>
    <w:rPr>
      <w:rFonts w:ascii="Times New Roman" w:hAnsi="Times New Roman"/>
    </w:rPr>
  </w:style>
  <w:style w:type="paragraph" w:styleId="Obsah9">
    <w:name w:val="toc 9"/>
    <w:basedOn w:val="Normln"/>
    <w:next w:val="Normln"/>
    <w:autoRedefine/>
    <w:semiHidden/>
    <w:pPr>
      <w:ind w:left="1680"/>
      <w:jc w:val="left"/>
    </w:pPr>
    <w:rPr>
      <w:rFonts w:ascii="Times New Roman" w:hAnsi="Times New Roman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ind w:left="709"/>
    </w:pPr>
    <w:rPr>
      <w:lang w:val="x-none" w:eastAsia="x-none"/>
    </w:rPr>
  </w:style>
  <w:style w:type="paragraph" w:customStyle="1" w:styleId="zhlav2">
    <w:name w:val="záhlaví 2"/>
    <w:basedOn w:val="Zhlav"/>
    <w:pPr>
      <w:framePr w:hSpace="141" w:wrap="around" w:vAnchor="text" w:hAnchor="text" w:y="1"/>
      <w:suppressOverlap/>
      <w:jc w:val="left"/>
    </w:pPr>
    <w:rPr>
      <w:bCs/>
      <w:spacing w:val="20"/>
      <w:sz w:val="16"/>
      <w:szCs w:val="18"/>
    </w:rPr>
  </w:style>
  <w:style w:type="paragraph" w:customStyle="1" w:styleId="Zhlav3">
    <w:name w:val="Záhlaví 3"/>
    <w:basedOn w:val="Zhlav"/>
    <w:pPr>
      <w:framePr w:hSpace="141" w:wrap="around" w:vAnchor="text" w:hAnchor="text" w:y="1"/>
      <w:suppressOverlap/>
      <w:jc w:val="left"/>
    </w:pPr>
    <w:rPr>
      <w:b w:val="0"/>
      <w:bCs/>
      <w:spacing w:val="10"/>
      <w:sz w:val="14"/>
      <w:szCs w:val="18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Zkladntext31">
    <w:name w:val="Základní text 31"/>
    <w:basedOn w:val="Normln"/>
    <w:pPr>
      <w:suppressAutoHyphens/>
      <w:ind w:right="139"/>
    </w:pPr>
    <w:rPr>
      <w:b/>
      <w:szCs w:val="20"/>
    </w:rPr>
  </w:style>
  <w:style w:type="paragraph" w:styleId="Zkladntextodsazen3">
    <w:name w:val="Body Text Indent 3"/>
    <w:basedOn w:val="Normln"/>
    <w:link w:val="Zkladntextodsazen3Char"/>
    <w:pPr>
      <w:ind w:firstLine="720"/>
    </w:pPr>
    <w:rPr>
      <w:rFonts w:cs="Arial"/>
    </w:rPr>
  </w:style>
  <w:style w:type="character" w:customStyle="1" w:styleId="Zvraznn">
    <w:name w:val="Zvýraznění"/>
    <w:qFormat/>
    <w:rPr>
      <w:i/>
      <w:iCs/>
    </w:rPr>
  </w:style>
  <w:style w:type="paragraph" w:styleId="Zkladntextodsazen2">
    <w:name w:val="Body Text Indent 2"/>
    <w:basedOn w:val="Normln"/>
    <w:pPr>
      <w:ind w:firstLine="567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cs="Arial"/>
      <w:b/>
      <w:bCs/>
      <w:sz w:val="28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txt">
    <w:name w:val="txt"/>
    <w:basedOn w:val="Normln"/>
    <w:pPr>
      <w:spacing w:after="120"/>
      <w:ind w:firstLine="357"/>
    </w:pPr>
    <w:rPr>
      <w:rFonts w:ascii="Times New Roman" w:hAnsi="Times New Roman"/>
    </w:rPr>
  </w:style>
  <w:style w:type="paragraph" w:customStyle="1" w:styleId="zjitn">
    <w:name w:val="zjištění"/>
    <w:basedOn w:val="Normln"/>
    <w:next w:val="Normln"/>
    <w:pPr>
      <w:numPr>
        <w:numId w:val="2"/>
      </w:numPr>
      <w:tabs>
        <w:tab w:val="clear" w:pos="1800"/>
        <w:tab w:val="num" w:pos="2160"/>
      </w:tabs>
      <w:spacing w:after="240"/>
      <w:ind w:left="2160" w:hanging="2160"/>
    </w:pPr>
    <w:rPr>
      <w:rFonts w:cs="Arial"/>
      <w:b/>
      <w:bCs/>
    </w:rPr>
  </w:style>
  <w:style w:type="paragraph" w:customStyle="1" w:styleId="doporuen0">
    <w:name w:val="doporučení"/>
    <w:basedOn w:val="Normln"/>
    <w:next w:val="zjitn"/>
    <w:pPr>
      <w:tabs>
        <w:tab w:val="num" w:pos="2160"/>
      </w:tabs>
      <w:spacing w:after="240"/>
      <w:ind w:left="2160" w:hanging="2160"/>
    </w:pPr>
    <w:rPr>
      <w:rFonts w:cs="Arial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Rozloendokumentu">
    <w:name w:val="Document Map"/>
    <w:basedOn w:val="Normln"/>
    <w:link w:val="RozloendokumentuChar"/>
    <w:rsid w:val="00583611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583611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9D11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smallCaps w:val="0"/>
      <w:color w:val="365F91"/>
      <w:spacing w:val="0"/>
      <w:kern w:val="0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6346CF"/>
    <w:pPr>
      <w:ind w:left="708"/>
    </w:pPr>
  </w:style>
  <w:style w:type="paragraph" w:customStyle="1" w:styleId="Popiszjitn">
    <w:name w:val="Popis zjištění"/>
    <w:basedOn w:val="Zkladntextodsazen"/>
    <w:rsid w:val="00DC5F35"/>
    <w:pPr>
      <w:numPr>
        <w:numId w:val="3"/>
      </w:numPr>
      <w:spacing w:before="200" w:after="200"/>
    </w:pPr>
    <w:rPr>
      <w:rFonts w:cs="Arial"/>
    </w:rPr>
  </w:style>
  <w:style w:type="paragraph" w:styleId="Textbubliny">
    <w:name w:val="Balloon Text"/>
    <w:basedOn w:val="Normln"/>
    <w:link w:val="TextbublinyChar"/>
    <w:rsid w:val="00BB429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B429F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387613"/>
    <w:pPr>
      <w:spacing w:after="120"/>
    </w:pPr>
    <w:rPr>
      <w:rFonts w:cs="Arial"/>
      <w:sz w:val="22"/>
    </w:rPr>
  </w:style>
  <w:style w:type="character" w:customStyle="1" w:styleId="ZkladntextChar">
    <w:name w:val="Základní text Char"/>
    <w:link w:val="Zkladntext"/>
    <w:rsid w:val="0006161F"/>
    <w:rPr>
      <w:rFonts w:ascii="Arial" w:hAnsi="Arial"/>
      <w:b/>
      <w:bCs/>
      <w:sz w:val="26"/>
      <w:szCs w:val="24"/>
    </w:rPr>
  </w:style>
  <w:style w:type="character" w:customStyle="1" w:styleId="ZpatChar">
    <w:name w:val="Zápatí Char"/>
    <w:link w:val="Zpat"/>
    <w:uiPriority w:val="99"/>
    <w:rsid w:val="00667593"/>
    <w:rPr>
      <w:rFonts w:ascii="Arial" w:hAnsi="Arial"/>
      <w:szCs w:val="24"/>
    </w:rPr>
  </w:style>
  <w:style w:type="paragraph" w:customStyle="1" w:styleId="Doporuen">
    <w:name w:val="Doporučení"/>
    <w:basedOn w:val="Normln"/>
    <w:rsid w:val="00667593"/>
    <w:pPr>
      <w:numPr>
        <w:ilvl w:val="1"/>
        <w:numId w:val="6"/>
      </w:numPr>
      <w:spacing w:after="320"/>
    </w:pPr>
    <w:rPr>
      <w:rFonts w:cs="Arial"/>
    </w:rPr>
  </w:style>
  <w:style w:type="paragraph" w:customStyle="1" w:styleId="StylPopiszjitnPed12bZa12b1">
    <w:name w:val="Styl Popis zjištění + Před:  12 b. Za:  12 b.1"/>
    <w:basedOn w:val="Normln"/>
    <w:autoRedefine/>
    <w:rsid w:val="00A70B7C"/>
    <w:pPr>
      <w:numPr>
        <w:numId w:val="7"/>
      </w:numPr>
      <w:spacing w:before="240" w:after="180"/>
    </w:pPr>
    <w:rPr>
      <w:szCs w:val="20"/>
    </w:rPr>
  </w:style>
  <w:style w:type="character" w:customStyle="1" w:styleId="Zkladntext2Char">
    <w:name w:val="Základní text 2 Char"/>
    <w:link w:val="Zkladntext2"/>
    <w:rsid w:val="00E20EBC"/>
    <w:rPr>
      <w:rFonts w:ascii="Arial" w:hAnsi="Arial" w:cs="Arial"/>
      <w:sz w:val="24"/>
      <w:szCs w:val="24"/>
    </w:rPr>
  </w:style>
  <w:style w:type="paragraph" w:customStyle="1" w:styleId="luk1">
    <w:name w:val="luk1"/>
    <w:basedOn w:val="Normln"/>
    <w:rsid w:val="00E20EBC"/>
    <w:rPr>
      <w:rFonts w:ascii="Times New Roman" w:hAnsi="Times New Roman"/>
      <w:szCs w:val="20"/>
    </w:rPr>
  </w:style>
  <w:style w:type="character" w:customStyle="1" w:styleId="ZkladntextodsazenChar">
    <w:name w:val="Základní text odsazený Char"/>
    <w:link w:val="Zkladntextodsazen"/>
    <w:rsid w:val="00093483"/>
    <w:rPr>
      <w:rFonts w:ascii="Arial" w:hAnsi="Arial"/>
      <w:sz w:val="24"/>
      <w:szCs w:val="24"/>
    </w:rPr>
  </w:style>
  <w:style w:type="character" w:customStyle="1" w:styleId="ZhlavChar">
    <w:name w:val="Záhlaví Char"/>
    <w:link w:val="Zhlav"/>
    <w:rsid w:val="00024305"/>
    <w:rPr>
      <w:rFonts w:ascii="Arial" w:hAnsi="Arial"/>
      <w:b/>
      <w:caps/>
      <w:spacing w:val="30"/>
      <w:sz w:val="18"/>
      <w:szCs w:val="24"/>
    </w:rPr>
  </w:style>
  <w:style w:type="table" w:styleId="Mkatabulky">
    <w:name w:val="Table Grid"/>
    <w:basedOn w:val="Normlntabulka"/>
    <w:rsid w:val="003A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Z2">
    <w:name w:val="Nadpis Z2"/>
    <w:basedOn w:val="Nadpis2"/>
    <w:link w:val="NadpisZ2Char"/>
    <w:qFormat/>
    <w:rsid w:val="00534D75"/>
    <w:pPr>
      <w:numPr>
        <w:ilvl w:val="0"/>
        <w:numId w:val="0"/>
      </w:numPr>
      <w:tabs>
        <w:tab w:val="clear" w:pos="284"/>
        <w:tab w:val="left" w:pos="-4962"/>
      </w:tabs>
      <w:spacing w:before="240" w:after="60"/>
      <w:jc w:val="left"/>
    </w:pPr>
    <w:rPr>
      <w:rFonts w:cs="Arial"/>
      <w:bCs/>
      <w:smallCaps w:val="0"/>
      <w:spacing w:val="0"/>
      <w:szCs w:val="28"/>
    </w:rPr>
  </w:style>
  <w:style w:type="character" w:customStyle="1" w:styleId="NadpisZ2Char">
    <w:name w:val="Nadpis Z2 Char"/>
    <w:link w:val="NadpisZ2"/>
    <w:rsid w:val="00534D75"/>
    <w:rPr>
      <w:rFonts w:ascii="Arial" w:hAnsi="Arial" w:cs="Arial"/>
      <w:b/>
      <w:bCs/>
      <w:sz w:val="28"/>
      <w:szCs w:val="28"/>
    </w:rPr>
  </w:style>
  <w:style w:type="character" w:styleId="Odkaznakoment">
    <w:name w:val="annotation reference"/>
    <w:rsid w:val="00EB4E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B4E9E"/>
    <w:rPr>
      <w:sz w:val="20"/>
      <w:szCs w:val="20"/>
    </w:rPr>
  </w:style>
  <w:style w:type="character" w:customStyle="1" w:styleId="TextkomenteChar">
    <w:name w:val="Text komentáře Char"/>
    <w:link w:val="Textkomente"/>
    <w:rsid w:val="00EB4E9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B4E9E"/>
    <w:rPr>
      <w:b/>
      <w:bCs/>
    </w:rPr>
  </w:style>
  <w:style w:type="character" w:customStyle="1" w:styleId="PedmtkomenteChar">
    <w:name w:val="Předmět komentáře Char"/>
    <w:link w:val="Pedmtkomente"/>
    <w:rsid w:val="00EB4E9E"/>
    <w:rPr>
      <w:rFonts w:ascii="Arial" w:hAnsi="Arial"/>
      <w:b/>
      <w:bCs/>
    </w:rPr>
  </w:style>
  <w:style w:type="character" w:customStyle="1" w:styleId="Zkladntextodsazen3Char">
    <w:name w:val="Základní text odsazený 3 Char"/>
    <w:link w:val="Zkladntextodsazen3"/>
    <w:rsid w:val="00126FE3"/>
    <w:rPr>
      <w:rFonts w:ascii="Arial" w:hAnsi="Arial" w:cs="Arial"/>
      <w:sz w:val="24"/>
      <w:szCs w:val="24"/>
    </w:rPr>
  </w:style>
  <w:style w:type="character" w:styleId="Siln">
    <w:name w:val="Strong"/>
    <w:uiPriority w:val="22"/>
    <w:qFormat/>
    <w:rsid w:val="00013FE6"/>
    <w:rPr>
      <w:b/>
      <w:bCs/>
    </w:rPr>
  </w:style>
  <w:style w:type="character" w:customStyle="1" w:styleId="TextpoznpodarouChar">
    <w:name w:val="Text pozn. pod čarou Char"/>
    <w:link w:val="Textpoznpodarou"/>
    <w:semiHidden/>
    <w:rsid w:val="004D4E43"/>
    <w:rPr>
      <w:rFonts w:ascii="Arial" w:hAnsi="Arial"/>
    </w:rPr>
  </w:style>
  <w:style w:type="paragraph" w:styleId="Revize">
    <w:name w:val="Revision"/>
    <w:hidden/>
    <w:uiPriority w:val="99"/>
    <w:semiHidden/>
    <w:rsid w:val="009C63F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564E-C60A-45F1-94BE-23E9ADF1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4844</Words>
  <Characters>28585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zpráva</vt:lpstr>
    </vt:vector>
  </TitlesOfParts>
  <Company>mpsv</Company>
  <LinksUpToDate>false</LinksUpToDate>
  <CharactersWithSpaces>33363</CharactersWithSpaces>
  <SharedDoc>false</SharedDoc>
  <HLinks>
    <vt:vector size="84" baseType="variant">
      <vt:variant>
        <vt:i4>1638457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_Toc159921336</vt:lpwstr>
      </vt:variant>
      <vt:variant>
        <vt:i4>1638457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_Toc159921335</vt:lpwstr>
      </vt:variant>
      <vt:variant>
        <vt:i4>1638457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_Toc159921334</vt:lpwstr>
      </vt:variant>
      <vt:variant>
        <vt:i4>1638457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_Toc159921333</vt:lpwstr>
      </vt:variant>
      <vt:variant>
        <vt:i4>1638457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_Toc159921332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_Toc159921331</vt:lpwstr>
      </vt:variant>
      <vt:variant>
        <vt:i4>1638457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_Toc159921330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_Toc159921329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_Toc159921328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_Toc159921327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_Toc159921326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_Toc159921325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_Toc159921324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_Toc159921323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zpráva</dc:title>
  <dc:subject>Rok 2010</dc:subject>
  <dc:creator>Beckert</dc:creator>
  <cp:keywords/>
  <cp:lastModifiedBy>Zemánková Dana Ing. (MPSV)</cp:lastModifiedBy>
  <cp:revision>6</cp:revision>
  <cp:lastPrinted>2024-02-28T09:02:00Z</cp:lastPrinted>
  <dcterms:created xsi:type="dcterms:W3CDTF">2024-02-28T12:24:00Z</dcterms:created>
  <dcterms:modified xsi:type="dcterms:W3CDTF">2025-02-26T07:45:00Z</dcterms:modified>
</cp:coreProperties>
</file>